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4062BC07" w:rsidR="0073303C" w:rsidRDefault="00260FAD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94180B">
        <w:rPr>
          <w:rFonts w:ascii="Arial" w:hAnsi="Arial" w:cs="Arial"/>
          <w:b/>
          <w:sz w:val="24"/>
          <w:szCs w:val="24"/>
        </w:rPr>
        <w:t>En</w:t>
      </w:r>
      <w:r w:rsidR="00CF3348">
        <w:rPr>
          <w:rFonts w:ascii="Arial" w:hAnsi="Arial" w:cs="Arial"/>
          <w:b/>
          <w:sz w:val="24"/>
          <w:szCs w:val="24"/>
        </w:rPr>
        <w:t>d-</w:t>
      </w:r>
      <w:r w:rsidR="00E620E0">
        <w:rPr>
          <w:rFonts w:ascii="Arial" w:hAnsi="Arial" w:cs="Arial"/>
          <w:b/>
          <w:sz w:val="24"/>
          <w:szCs w:val="24"/>
        </w:rPr>
        <w:t>Term 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 w:rsidR="00461EB7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3F0BF" w14:textId="73CC177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0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05-08-2024                         </w:t>
                            </w: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E1A4A" w:rsidRPr="004E1A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01.00pm to 04.00pm </w:t>
                            </w: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7DA3F0BF" w14:textId="73CC177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0FAD">
                        <w:rPr>
                          <w:rFonts w:ascii="Arial" w:hAnsi="Arial" w:cs="Arial"/>
                          <w:color w:val="000000" w:themeColor="text1"/>
                        </w:rPr>
                        <w:t xml:space="preserve">05-08-2024                         </w:t>
                      </w: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E1A4A" w:rsidRPr="004E1A4A">
                        <w:rPr>
                          <w:rFonts w:ascii="Arial" w:hAnsi="Arial" w:cs="Arial"/>
                          <w:color w:val="000000" w:themeColor="text1"/>
                        </w:rPr>
                        <w:t xml:space="preserve">01.00pm to 04.00pm </w:t>
                      </w: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A5CF13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C6D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3rd</w:t>
                            </w:r>
                          </w:p>
                          <w:p w14:paraId="419F5C31" w14:textId="3D81AA7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C6D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 3005</w:t>
                            </w:r>
                            <w:bookmarkStart w:id="0" w:name="_GoBack"/>
                            <w:bookmarkEnd w:id="0"/>
                          </w:p>
                          <w:p w14:paraId="19A088E3" w14:textId="556F61CC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C6D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Investment Management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A5CF13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C6D73">
                        <w:rPr>
                          <w:rFonts w:ascii="Arial" w:hAnsi="Arial" w:cs="Arial"/>
                          <w:color w:val="000000" w:themeColor="text1"/>
                        </w:rPr>
                        <w:t>3rd</w:t>
                      </w:r>
                    </w:p>
                    <w:p w14:paraId="419F5C31" w14:textId="3D81AA7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C6D73">
                        <w:rPr>
                          <w:rFonts w:ascii="Arial" w:hAnsi="Arial" w:cs="Arial"/>
                          <w:color w:val="000000" w:themeColor="text1"/>
                        </w:rPr>
                        <w:t>MBA 3005</w:t>
                      </w:r>
                    </w:p>
                    <w:p w14:paraId="19A088E3" w14:textId="556F61CC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C6D73">
                        <w:rPr>
                          <w:rFonts w:ascii="Arial" w:hAnsi="Arial" w:cs="Arial"/>
                          <w:color w:val="000000" w:themeColor="text1"/>
                        </w:rPr>
                        <w:t>Investment Management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A4ED0E" w14:textId="77777777" w:rsidR="0094180B" w:rsidRDefault="0094180B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 w14:textId="0F3D868C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F93F78">
        <w:rPr>
          <w:rFonts w:ascii="Arial" w:hAnsi="Arial" w:cs="Arial"/>
          <w:b/>
          <w:sz w:val="24"/>
          <w:szCs w:val="24"/>
        </w:rPr>
        <w:t xml:space="preserve">any </w:t>
      </w:r>
      <w:r w:rsidR="0094180B">
        <w:rPr>
          <w:rFonts w:ascii="Arial" w:hAnsi="Arial" w:cs="Arial"/>
          <w:b/>
          <w:sz w:val="24"/>
          <w:szCs w:val="24"/>
        </w:rPr>
        <w:t>10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4F9C4F61" w14:textId="1371F9AF" w:rsidR="0094180B" w:rsidRPr="00A6486D" w:rsidRDefault="00A8489D" w:rsidP="00F30700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  </w:t>
      </w:r>
      <w:r w:rsidR="00B40776" w:rsidRPr="00A6486D">
        <w:rPr>
          <w:rFonts w:ascii="Arial" w:hAnsi="Arial" w:cs="Arial"/>
          <w:sz w:val="24"/>
          <w:szCs w:val="24"/>
        </w:rPr>
        <w:t>State the various investment options available to an investor   (C.O.No.1) [Knowledge Level]</w:t>
      </w:r>
    </w:p>
    <w:p w14:paraId="614E2612" w14:textId="15BE176C" w:rsidR="0094180B" w:rsidRPr="00A6486D" w:rsidRDefault="00B40776" w:rsidP="00F30700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State the features of a bond.                                                    (C.O.No.1) [Knowledge Level]  </w:t>
      </w:r>
    </w:p>
    <w:p w14:paraId="4DAE9174" w14:textId="46A5DEDF" w:rsidR="00770413" w:rsidRPr="00A6486D" w:rsidRDefault="001735FB" w:rsidP="00F30700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How is</w:t>
      </w:r>
      <w:r w:rsidR="00770413" w:rsidRPr="00A6486D">
        <w:rPr>
          <w:rFonts w:ascii="Arial" w:hAnsi="Arial" w:cs="Arial"/>
          <w:sz w:val="24"/>
          <w:szCs w:val="24"/>
        </w:rPr>
        <w:t xml:space="preserve"> a callable bond useful to the issuing </w:t>
      </w:r>
      <w:proofErr w:type="gramStart"/>
      <w:r w:rsidR="00770413" w:rsidRPr="00A6486D">
        <w:rPr>
          <w:rFonts w:ascii="Arial" w:hAnsi="Arial" w:cs="Arial"/>
          <w:sz w:val="24"/>
          <w:szCs w:val="24"/>
        </w:rPr>
        <w:t>company.</w:t>
      </w:r>
      <w:proofErr w:type="gramEnd"/>
      <w:r w:rsidR="00770413" w:rsidRPr="00A6486D">
        <w:rPr>
          <w:rFonts w:ascii="Arial" w:hAnsi="Arial" w:cs="Arial"/>
          <w:sz w:val="24"/>
          <w:szCs w:val="24"/>
        </w:rPr>
        <w:t xml:space="preserve">          (C.O.No.1) [Knowledge Level]  </w:t>
      </w:r>
      <w:r w:rsidR="0094180B" w:rsidRPr="00A6486D">
        <w:rPr>
          <w:rFonts w:ascii="Arial" w:hAnsi="Arial" w:cs="Arial"/>
          <w:sz w:val="24"/>
          <w:szCs w:val="24"/>
        </w:rPr>
        <w:t xml:space="preserve">  </w:t>
      </w:r>
    </w:p>
    <w:p w14:paraId="2DBFABF5" w14:textId="3E88B5E9" w:rsidR="0094180B" w:rsidRPr="00A6486D" w:rsidRDefault="00770413" w:rsidP="00F30700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What are coupon Bonds and Non-Coupon Bonds?                 (C.O.No.1) [Knowledge Level]</w:t>
      </w:r>
    </w:p>
    <w:p w14:paraId="57175C7D" w14:textId="6EFD7A69" w:rsidR="0094180B" w:rsidRPr="00A6486D" w:rsidRDefault="00952411" w:rsidP="00F30700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Distinguish between Fundamental Analysis and Technical Analysis.(C.O.No.4)  [Comprehension Level]                                                                                                                        </w:t>
      </w:r>
    </w:p>
    <w:p w14:paraId="0478E19D" w14:textId="2C73EDB2" w:rsidR="00201982" w:rsidRPr="00A6486D" w:rsidRDefault="00201982" w:rsidP="00201982">
      <w:p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6 Assume that you are an investment adviser who has instructed one of your clients to invest their $100000 in U.S Treasury notes due to mature in 2 years. If your client becomes worried that a general increase in the level of interest rates will reduce the market value of his bond portfolio, what should you say to allay your client’s fears? (CO:03 Knowledge)</w:t>
      </w:r>
    </w:p>
    <w:p w14:paraId="4F5B9508" w14:textId="1EDB3BD7" w:rsidR="00EE38C3" w:rsidRPr="00A6486D" w:rsidRDefault="00EE38C3" w:rsidP="00EE38C3">
      <w:p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7</w:t>
      </w:r>
      <w:r w:rsidR="008C34D7" w:rsidRPr="00A6486D">
        <w:rPr>
          <w:rFonts w:ascii="Arial" w:hAnsi="Arial" w:cs="Arial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 xml:space="preserve">Assume you are an investment counsellor and one of your clients reads something about interest-rate risk and is worried that if market interest rates declined her coupon interest income will likewise decline. Her bond investments have maturities </w:t>
      </w:r>
      <w:proofErr w:type="spellStart"/>
      <w:r w:rsidRPr="00A6486D">
        <w:rPr>
          <w:rFonts w:ascii="Arial" w:hAnsi="Arial" w:cs="Arial"/>
          <w:sz w:val="24"/>
          <w:szCs w:val="24"/>
        </w:rPr>
        <w:t>raging</w:t>
      </w:r>
      <w:proofErr w:type="spellEnd"/>
      <w:r w:rsidRPr="00A6486D">
        <w:rPr>
          <w:rFonts w:ascii="Arial" w:hAnsi="Arial" w:cs="Arial"/>
          <w:sz w:val="24"/>
          <w:szCs w:val="24"/>
        </w:rPr>
        <w:t xml:space="preserve"> from 15 to 30 years. What advice is appropriate for this client? (CO:03 Knowledge)</w:t>
      </w:r>
    </w:p>
    <w:p w14:paraId="6841343F" w14:textId="0E75E02A" w:rsidR="00D90B91" w:rsidRPr="00A6486D" w:rsidRDefault="00D90B91" w:rsidP="00F307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The Logan Corporation currently has earnings that are $4 per share. In recent years earnings have been growing at a rate of 7.5 percent, and this rate is expected to continue in the future. If the Logan Corporation has a retention rate of 40% and a required rate of return of 14 percent, what is its current value? (CO:02 Knowledge)</w:t>
      </w:r>
    </w:p>
    <w:p w14:paraId="09944240" w14:textId="125BE398" w:rsidR="00D90B91" w:rsidRPr="00A6486D" w:rsidRDefault="00D90B91" w:rsidP="00F307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lastRenderedPageBreak/>
        <w:t>Explain the difference between systematic risk and unsystematic risk. Can you provide examples of each, and how might an investor diversify to manage these types of risks?  (CO :02)[Knowledge]</w:t>
      </w:r>
    </w:p>
    <w:p w14:paraId="684C0F9F" w14:textId="77777777" w:rsidR="00107773" w:rsidRPr="00A6486D" w:rsidRDefault="00107773" w:rsidP="00F30700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List out the five steps in the Investment process.  (CO :01) </w:t>
      </w:r>
      <w:r w:rsidRPr="00A6486D">
        <w:rPr>
          <w:rFonts w:ascii="Arial" w:hAnsi="Arial" w:cs="Arial"/>
          <w:sz w:val="24"/>
          <w:szCs w:val="24"/>
        </w:rPr>
        <w:tab/>
        <w:t>[Knowledge]</w:t>
      </w:r>
    </w:p>
    <w:p w14:paraId="490028C5" w14:textId="77777777" w:rsidR="00107773" w:rsidRPr="00A6486D" w:rsidRDefault="00107773" w:rsidP="0010777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628D786" w14:textId="77777777" w:rsidR="00107773" w:rsidRPr="00A6486D" w:rsidRDefault="00107773" w:rsidP="00F3070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The Jackson Corporation has a required rate of return of 16% and its current dividend is $3 per share. If the current price of Jackson’s stock is $55 per share, what is the growth rate of its dividends?  (CO :02) </w:t>
      </w:r>
      <w:r w:rsidRPr="00A6486D">
        <w:rPr>
          <w:rFonts w:ascii="Arial" w:hAnsi="Arial" w:cs="Arial"/>
          <w:sz w:val="24"/>
          <w:szCs w:val="24"/>
        </w:rPr>
        <w:tab/>
        <w:t>[Knowledge]</w:t>
      </w:r>
    </w:p>
    <w:p w14:paraId="07E0EDE0" w14:textId="77777777" w:rsidR="00107773" w:rsidRPr="00A6486D" w:rsidRDefault="00107773" w:rsidP="0010777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B1254B5" w14:textId="77777777" w:rsidR="00107773" w:rsidRPr="00A6486D" w:rsidRDefault="00107773" w:rsidP="00F307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How does diversification reduce portfolio </w:t>
      </w:r>
      <w:proofErr w:type="gramStart"/>
      <w:r w:rsidRPr="00A6486D">
        <w:rPr>
          <w:rFonts w:ascii="Arial" w:hAnsi="Arial" w:cs="Arial"/>
          <w:sz w:val="24"/>
          <w:szCs w:val="24"/>
        </w:rPr>
        <w:t>risk.</w:t>
      </w:r>
      <w:proofErr w:type="gramEnd"/>
      <w:r w:rsidRPr="00A6486D">
        <w:rPr>
          <w:rFonts w:ascii="Arial" w:hAnsi="Arial" w:cs="Arial"/>
          <w:sz w:val="24"/>
          <w:szCs w:val="24"/>
        </w:rPr>
        <w:t xml:space="preserve"> Provide a scenario where adding a new asset to a portfolio decreases the overall risk of the portfolio.  (CO :2) </w:t>
      </w:r>
      <w:r w:rsidRPr="00A6486D">
        <w:rPr>
          <w:rFonts w:ascii="Arial" w:hAnsi="Arial" w:cs="Arial"/>
          <w:sz w:val="24"/>
          <w:szCs w:val="24"/>
        </w:rPr>
        <w:tab/>
        <w:t>[Knowledge]</w:t>
      </w:r>
    </w:p>
    <w:p w14:paraId="15E2BD28" w14:textId="77777777" w:rsidR="008C34D7" w:rsidRPr="008C34D7" w:rsidRDefault="008C34D7" w:rsidP="008C34D7">
      <w:pPr>
        <w:pStyle w:val="ListParagraph"/>
        <w:rPr>
          <w:rFonts w:ascii="Arial" w:hAnsi="Arial" w:cs="Arial"/>
        </w:rPr>
      </w:pPr>
    </w:p>
    <w:p w14:paraId="675BCA7B" w14:textId="77777777" w:rsidR="009B2616" w:rsidRDefault="009B2616" w:rsidP="009B2616">
      <w:pPr>
        <w:pStyle w:val="ListParagraph"/>
        <w:rPr>
          <w:rFonts w:ascii="Arial" w:hAnsi="Arial" w:cs="Arial"/>
        </w:rPr>
      </w:pPr>
    </w:p>
    <w:p w14:paraId="6BD6763A" w14:textId="6678C719" w:rsidR="009B2616" w:rsidRPr="008E0176" w:rsidRDefault="005D74EC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 w14:textId="3F0CA253" w:rsidR="009425BC" w:rsidRDefault="009B2616" w:rsidP="009425B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</w:t>
      </w:r>
      <w:r w:rsidR="00F93F78">
        <w:rPr>
          <w:rFonts w:ascii="Arial" w:hAnsi="Arial" w:cs="Arial"/>
          <w:b/>
          <w:sz w:val="24"/>
          <w:szCs w:val="24"/>
        </w:rPr>
        <w:t xml:space="preserve">ny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4</w:t>
      </w:r>
      <w:r w:rsidR="00053026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594C4565" w14:textId="665C51FA" w:rsidR="001F60B5" w:rsidRPr="00A6486D" w:rsidRDefault="001F60B5" w:rsidP="00F30700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KL Ltd just paid a dividend of Rs.3 for the previous year. The dividend is expected to remain constant forever. If the required rate of return for the investment is 15% pa, what should be the intrinsic value of this share?  </w:t>
      </w:r>
      <w:r w:rsidR="00680F89">
        <w:rPr>
          <w:rFonts w:ascii="Arial" w:hAnsi="Arial" w:cs="Arial"/>
          <w:sz w:val="24"/>
          <w:szCs w:val="24"/>
        </w:rPr>
        <w:t xml:space="preserve">          </w:t>
      </w:r>
      <w:r w:rsidRPr="00A6486D">
        <w:rPr>
          <w:rFonts w:ascii="Arial" w:hAnsi="Arial" w:cs="Arial"/>
          <w:sz w:val="24"/>
          <w:szCs w:val="24"/>
        </w:rPr>
        <w:t xml:space="preserve">(C.O.No.4) [Comprehension Level]                                                                     </w:t>
      </w:r>
    </w:p>
    <w:p w14:paraId="3C0A1DA0" w14:textId="77777777" w:rsidR="00187305" w:rsidRPr="00A6486D" w:rsidRDefault="00187305" w:rsidP="00F3070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The following information is available: </w:t>
      </w:r>
    </w:p>
    <w:p w14:paraId="6B1F5086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Expected return for the market = 14%. </w:t>
      </w:r>
    </w:p>
    <w:p w14:paraId="2B6116DF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Standard deviation of market return = 20%. </w:t>
      </w:r>
    </w:p>
    <w:p w14:paraId="46B73BF5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Risk-free return = 6%. </w:t>
      </w:r>
    </w:p>
    <w:p w14:paraId="7E8402C3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Correlation coefficient between stock A and the market = 0.7. </w:t>
      </w:r>
    </w:p>
    <w:p w14:paraId="296AEE19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Correlation coefficient between stock B and the market = 0.8. </w:t>
      </w:r>
    </w:p>
    <w:p w14:paraId="063D0748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Standard deviation for stock A = 24%. </w:t>
      </w:r>
    </w:p>
    <w:p w14:paraId="6E4D1298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Standard deviation for stock B = 32%. </w:t>
      </w:r>
    </w:p>
    <w:p w14:paraId="1DCF4F53" w14:textId="77777777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(a) Calculate the beta for stock A and stock B. </w:t>
      </w:r>
    </w:p>
    <w:p w14:paraId="3522F19A" w14:textId="6DB372CC" w:rsidR="00187305" w:rsidRPr="00A6486D" w:rsidRDefault="00187305" w:rsidP="0018730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b) Calculate the required return for each stock.    (CO :02) </w:t>
      </w:r>
      <w:r w:rsidRPr="00A6486D">
        <w:rPr>
          <w:rFonts w:ascii="Arial" w:hAnsi="Arial" w:cs="Arial"/>
          <w:sz w:val="24"/>
          <w:szCs w:val="24"/>
        </w:rPr>
        <w:tab/>
        <w:t>[Application]</w:t>
      </w:r>
    </w:p>
    <w:p w14:paraId="62A83AE9" w14:textId="77777777" w:rsidR="00187305" w:rsidRPr="00A6486D" w:rsidRDefault="00187305" w:rsidP="00F3070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Consider the following two bonds with the same yield-to-maturity (YTM) of 6%: Bond A is a 15-year, 25% coupon bond, and bond B is a 5-year, 5% coupon bond. (Assuming a Face Value of $1,000) </w:t>
      </w:r>
    </w:p>
    <w:p w14:paraId="6AE8F9D9" w14:textId="67806703" w:rsidR="00187305" w:rsidRPr="00A6486D" w:rsidRDefault="00187305" w:rsidP="001735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Compute the </w:t>
      </w:r>
      <w:r w:rsidR="001735FB">
        <w:rPr>
          <w:rFonts w:ascii="Arial" w:hAnsi="Arial" w:cs="Arial"/>
          <w:sz w:val="24"/>
          <w:szCs w:val="24"/>
        </w:rPr>
        <w:t>prices for both bonds.</w:t>
      </w:r>
    </w:p>
    <w:p w14:paraId="06C5E7AE" w14:textId="55816515" w:rsidR="00187305" w:rsidRPr="00A6486D" w:rsidRDefault="00187305" w:rsidP="001735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What happens to the prices of these bonds if the YTM increases to 7% in the next year, everything else being the same? (Hint: calculate the price for ne</w:t>
      </w:r>
      <w:r w:rsidR="001735FB">
        <w:rPr>
          <w:rFonts w:ascii="Arial" w:hAnsi="Arial" w:cs="Arial"/>
          <w:sz w:val="24"/>
          <w:szCs w:val="24"/>
        </w:rPr>
        <w:t xml:space="preserve">xt year with YTM = 7%) </w:t>
      </w:r>
      <w:r w:rsidRPr="00A6486D">
        <w:rPr>
          <w:rFonts w:ascii="Arial" w:hAnsi="Arial" w:cs="Arial"/>
          <w:sz w:val="24"/>
          <w:szCs w:val="24"/>
        </w:rPr>
        <w:t xml:space="preserve">  (CO:02 Application)</w:t>
      </w:r>
    </w:p>
    <w:p w14:paraId="3B9637E0" w14:textId="77777777" w:rsidR="00187305" w:rsidRPr="00A6486D" w:rsidRDefault="00187305" w:rsidP="00187305">
      <w:pPr>
        <w:pStyle w:val="ListParagraph"/>
        <w:rPr>
          <w:rFonts w:ascii="Arial" w:hAnsi="Arial" w:cs="Arial"/>
          <w:sz w:val="24"/>
          <w:szCs w:val="24"/>
        </w:rPr>
      </w:pPr>
    </w:p>
    <w:p w14:paraId="7B4206D7" w14:textId="77777777" w:rsidR="00187305" w:rsidRPr="00A6486D" w:rsidRDefault="00187305" w:rsidP="00F30700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sz w:val="24"/>
          <w:szCs w:val="24"/>
          <w:lang w:val="en-IN"/>
        </w:rPr>
      </w:pPr>
      <w:r w:rsidRPr="00A6486D">
        <w:rPr>
          <w:rFonts w:ascii="Arial" w:hAnsi="Arial" w:cs="Arial"/>
          <w:sz w:val="24"/>
          <w:szCs w:val="24"/>
        </w:rPr>
        <w:t>The returns on securities 1 and 2 under five possible states of nature are given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701"/>
        <w:gridCol w:w="2127"/>
        <w:gridCol w:w="2358"/>
      </w:tblGrid>
      <w:tr w:rsidR="00187305" w:rsidRPr="00A6486D" w14:paraId="069E8BB4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D4FD5" w14:textId="77777777" w:rsidR="00187305" w:rsidRPr="00A6486D" w:rsidRDefault="00187305" w:rsidP="00BB3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State of 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C5D3F" w14:textId="77777777" w:rsidR="00187305" w:rsidRPr="00A6486D" w:rsidRDefault="00187305" w:rsidP="00BB3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Prob.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FC92" w14:textId="77777777" w:rsidR="00187305" w:rsidRPr="00A6486D" w:rsidRDefault="00187305" w:rsidP="00BB3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Return on SBI (in %)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6034" w14:textId="77777777" w:rsidR="00187305" w:rsidRPr="00A6486D" w:rsidRDefault="00187305" w:rsidP="00BB3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Return on HDFC (in %)</w:t>
            </w:r>
          </w:p>
        </w:tc>
      </w:tr>
      <w:tr w:rsidR="00187305" w:rsidRPr="00A6486D" w14:paraId="66D6786C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1F95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24A87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20E1C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425AF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87305" w:rsidRPr="00A6486D" w14:paraId="4554922F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BCDF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89798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C8139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7432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87305" w:rsidRPr="00A6486D" w14:paraId="5E2FB19B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8DDD4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2F62B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A9588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47F0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187305" w:rsidRPr="00A6486D" w14:paraId="5372A7E8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650B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A39C1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66406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81BE3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87305" w:rsidRPr="00A6486D" w14:paraId="005346D9" w14:textId="77777777" w:rsidTr="00BB3C4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06451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56CFD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2FF9A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47AAF" w14:textId="77777777" w:rsidR="00187305" w:rsidRPr="00A6486D" w:rsidRDefault="00187305" w:rsidP="00BB3C42">
            <w:pPr>
              <w:pStyle w:val="ListParagraph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15D199F3" w14:textId="77777777" w:rsidR="00187305" w:rsidRPr="00A6486D" w:rsidRDefault="00187305" w:rsidP="0018730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Compute: (a) Expected return on securities. (b) Covariance between the returns on </w:t>
      </w:r>
      <w:proofErr w:type="gramStart"/>
      <w:r w:rsidRPr="00A6486D">
        <w:rPr>
          <w:rFonts w:ascii="Arial" w:hAnsi="Arial" w:cs="Arial"/>
          <w:sz w:val="24"/>
          <w:szCs w:val="24"/>
        </w:rPr>
        <w:t>securities(</w:t>
      </w:r>
      <w:proofErr w:type="gramEnd"/>
      <w:r w:rsidRPr="00A6486D">
        <w:rPr>
          <w:rFonts w:ascii="Arial" w:hAnsi="Arial" w:cs="Arial"/>
          <w:sz w:val="24"/>
          <w:szCs w:val="24"/>
        </w:rPr>
        <w:t>CO:03 Application)</w:t>
      </w:r>
    </w:p>
    <w:p w14:paraId="6CDF8F69" w14:textId="77777777" w:rsidR="00187305" w:rsidRDefault="00187305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EC1D5EF" w14:textId="77777777" w:rsidR="00680F89" w:rsidRDefault="00680F89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D39242A" w14:textId="77777777" w:rsidR="00680F89" w:rsidRDefault="00680F89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42D404A" w14:textId="77777777" w:rsidR="00680F89" w:rsidRDefault="00680F89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708396B" w14:textId="77777777" w:rsidR="00680F89" w:rsidRDefault="00680F89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18F6BE1" w14:textId="77777777" w:rsidR="00680F89" w:rsidRPr="00A6486D" w:rsidRDefault="00680F89" w:rsidP="00187305">
      <w:pPr>
        <w:pStyle w:val="ListParagraph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6EABB27" w14:textId="66459C06" w:rsidR="00187305" w:rsidRPr="00A6486D" w:rsidRDefault="00187305" w:rsidP="00F30700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49" w:line="240" w:lineRule="auto"/>
        <w:rPr>
          <w:rFonts w:ascii="Arial" w:hAnsi="Arial" w:cs="Arial"/>
          <w:sz w:val="24"/>
          <w:szCs w:val="24"/>
          <w:lang w:val="en-IN"/>
        </w:rPr>
      </w:pPr>
      <w:r w:rsidRPr="00A6486D">
        <w:rPr>
          <w:rFonts w:ascii="Arial" w:hAnsi="Arial" w:cs="Arial"/>
          <w:sz w:val="24"/>
          <w:szCs w:val="24"/>
        </w:rPr>
        <w:t>Mr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Christopher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provides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following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information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his</w:t>
      </w:r>
      <w:r w:rsidRPr="00A6486D">
        <w:rPr>
          <w:rFonts w:ascii="Arial" w:hAnsi="Arial" w:cs="Arial"/>
          <w:spacing w:val="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portfolio for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year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2023: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758"/>
        <w:gridCol w:w="1440"/>
      </w:tblGrid>
      <w:tr w:rsidR="00187305" w:rsidRPr="00A6486D" w14:paraId="1E81FC68" w14:textId="77777777" w:rsidTr="00BB3C42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BB9C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Asset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0DA3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Amount Invested</w:t>
            </w:r>
            <w:r w:rsidRPr="00A6486D">
              <w:rPr>
                <w:rFonts w:ascii="Arial" w:hAnsi="Arial" w:cs="Arial"/>
                <w:spacing w:val="5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085E" w14:textId="77777777" w:rsidR="00187305" w:rsidRPr="00A6486D" w:rsidRDefault="00187305" w:rsidP="00BB3C42">
            <w:pPr>
              <w:pStyle w:val="TableParagraph"/>
              <w:ind w:left="100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Returns</w:t>
            </w:r>
            <w:r w:rsidRPr="00A6486D">
              <w:rPr>
                <w:rFonts w:ascii="Arial" w:hAnsi="Arial" w:cs="Arial"/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%</w:t>
            </w:r>
          </w:p>
        </w:tc>
      </w:tr>
      <w:tr w:rsidR="00187305" w:rsidRPr="00A6486D" w14:paraId="15019CC9" w14:textId="77777777" w:rsidTr="00BB3C42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D7CD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RIL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D241" w14:textId="77777777" w:rsidR="00187305" w:rsidRPr="00A6486D" w:rsidRDefault="00187305" w:rsidP="00BB3C42">
            <w:pPr>
              <w:pStyle w:val="TableParagraph"/>
              <w:ind w:left="0" w:right="10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500000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C7F9" w14:textId="77777777" w:rsidR="00187305" w:rsidRPr="00A6486D" w:rsidRDefault="00187305" w:rsidP="00BB3C42">
            <w:pPr>
              <w:pStyle w:val="TableParagraph"/>
              <w:ind w:left="0" w:right="98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20%</w:t>
            </w:r>
          </w:p>
        </w:tc>
      </w:tr>
      <w:tr w:rsidR="00187305" w:rsidRPr="00A6486D" w14:paraId="77F06159" w14:textId="77777777" w:rsidTr="00BB3C42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9246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SBI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7DAA" w14:textId="77777777" w:rsidR="00187305" w:rsidRPr="00A6486D" w:rsidRDefault="00187305" w:rsidP="00BB3C42">
            <w:pPr>
              <w:pStyle w:val="TableParagraph"/>
              <w:ind w:left="0" w:right="10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800000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D4E0" w14:textId="77777777" w:rsidR="00187305" w:rsidRPr="00A6486D" w:rsidRDefault="00187305" w:rsidP="00BB3C42">
            <w:pPr>
              <w:pStyle w:val="TableParagraph"/>
              <w:ind w:left="0" w:right="98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12%</w:t>
            </w:r>
          </w:p>
        </w:tc>
      </w:tr>
      <w:tr w:rsidR="00187305" w:rsidRPr="00A6486D" w14:paraId="16C9023B" w14:textId="77777777" w:rsidTr="00BB3C42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9A94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TISCO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F45C" w14:textId="77777777" w:rsidR="00187305" w:rsidRPr="00A6486D" w:rsidRDefault="00187305" w:rsidP="00BB3C42">
            <w:pPr>
              <w:pStyle w:val="TableParagraph"/>
              <w:ind w:left="0" w:right="99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1000000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4A08" w14:textId="77777777" w:rsidR="00187305" w:rsidRPr="00A6486D" w:rsidRDefault="00187305" w:rsidP="00BB3C42">
            <w:pPr>
              <w:pStyle w:val="TableParagraph"/>
              <w:ind w:left="0" w:right="98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22%</w:t>
            </w:r>
          </w:p>
        </w:tc>
      </w:tr>
    </w:tbl>
    <w:p w14:paraId="3867456F" w14:textId="265EE59C" w:rsidR="00187305" w:rsidRPr="00A6486D" w:rsidRDefault="00187305" w:rsidP="00187305">
      <w:pPr>
        <w:pStyle w:val="BodyText"/>
        <w:ind w:left="820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From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above,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(a) </w:t>
      </w:r>
      <w:r w:rsidRPr="00A6486D">
        <w:rPr>
          <w:rFonts w:ascii="Arial" w:hAnsi="Arial" w:cs="Arial"/>
          <w:sz w:val="24"/>
          <w:szCs w:val="24"/>
        </w:rPr>
        <w:t>Compute the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Portfolio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5F0466">
        <w:rPr>
          <w:rFonts w:ascii="Arial" w:hAnsi="Arial" w:cs="Arial"/>
          <w:sz w:val="24"/>
          <w:szCs w:val="24"/>
        </w:rPr>
        <w:t xml:space="preserve">Return </w:t>
      </w:r>
      <w:r w:rsidRPr="00A6486D">
        <w:rPr>
          <w:rFonts w:ascii="Arial" w:hAnsi="Arial" w:cs="Arial"/>
          <w:sz w:val="24"/>
          <w:szCs w:val="24"/>
        </w:rPr>
        <w:t>.</w:t>
      </w:r>
      <w:proofErr w:type="gramEnd"/>
      <w:r w:rsidRPr="00A6486D">
        <w:rPr>
          <w:rFonts w:ascii="Arial" w:hAnsi="Arial" w:cs="Arial"/>
          <w:sz w:val="24"/>
          <w:szCs w:val="24"/>
        </w:rPr>
        <w:t xml:space="preserve"> (b) Explain the expected return on a portfolio of risky assets? (CO:03 Application)</w:t>
      </w:r>
    </w:p>
    <w:p w14:paraId="49C94630" w14:textId="77777777" w:rsidR="00187305" w:rsidRPr="00A6486D" w:rsidRDefault="00187305" w:rsidP="00187305">
      <w:pPr>
        <w:pStyle w:val="BodyText"/>
        <w:ind w:left="820"/>
        <w:rPr>
          <w:rFonts w:ascii="Arial" w:hAnsi="Arial" w:cs="Arial"/>
          <w:sz w:val="24"/>
          <w:szCs w:val="24"/>
        </w:rPr>
      </w:pPr>
    </w:p>
    <w:p w14:paraId="166EAD5A" w14:textId="7D6D818D" w:rsidR="00187305" w:rsidRPr="00A6486D" w:rsidRDefault="00187305" w:rsidP="00F30700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Share</w:t>
      </w:r>
      <w:r w:rsidRPr="00A6486D">
        <w:rPr>
          <w:rFonts w:ascii="Arial" w:hAnsi="Arial" w:cs="Arial"/>
          <w:spacing w:val="-5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Price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Tata</w:t>
      </w:r>
      <w:r w:rsidRPr="00A6486D">
        <w:rPr>
          <w:rFonts w:ascii="Arial" w:hAnsi="Arial" w:cs="Arial"/>
          <w:spacing w:val="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Steel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for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5</w:t>
      </w:r>
      <w:r w:rsidRPr="00A6486D">
        <w:rPr>
          <w:rFonts w:ascii="Arial" w:hAnsi="Arial" w:cs="Arial"/>
          <w:spacing w:val="6"/>
          <w:sz w:val="24"/>
          <w:szCs w:val="24"/>
        </w:rPr>
        <w:t>-year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period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is</w:t>
      </w:r>
      <w:r w:rsidRPr="00A6486D">
        <w:rPr>
          <w:rFonts w:ascii="Arial" w:hAnsi="Arial" w:cs="Arial"/>
          <w:spacing w:val="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given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below:</w:t>
      </w:r>
    </w:p>
    <w:p w14:paraId="405220BF" w14:textId="77777777" w:rsidR="00187305" w:rsidRPr="00A6486D" w:rsidRDefault="00187305" w:rsidP="00187305">
      <w:pPr>
        <w:pStyle w:val="BodyText"/>
        <w:spacing w:before="1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2600"/>
      </w:tblGrid>
      <w:tr w:rsidR="00187305" w:rsidRPr="00A6486D" w14:paraId="5824279D" w14:textId="77777777" w:rsidTr="005F0466">
        <w:trPr>
          <w:trHeight w:val="216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139C" w14:textId="77777777" w:rsidR="00187305" w:rsidRPr="005F0466" w:rsidRDefault="00187305" w:rsidP="00BB3C42">
            <w:pPr>
              <w:pStyle w:val="TableParagraph"/>
              <w:spacing w:line="270" w:lineRule="exact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5F0466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Year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0172" w14:textId="77777777" w:rsidR="00187305" w:rsidRPr="005F0466" w:rsidRDefault="00187305" w:rsidP="00BB3C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</w:pPr>
            <w:r w:rsidRPr="005F0466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Closing</w:t>
            </w:r>
            <w:r w:rsidRPr="005F0466">
              <w:rPr>
                <w:rFonts w:ascii="Arial" w:hAnsi="Arial" w:cs="Arial"/>
                <w:b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F0466">
              <w:rPr>
                <w:rFonts w:ascii="Arial" w:hAnsi="Arial" w:cs="Arial"/>
                <w:b/>
                <w:kern w:val="2"/>
                <w:sz w:val="24"/>
                <w:szCs w:val="24"/>
                <w14:ligatures w14:val="standardContextual"/>
              </w:rPr>
              <w:t>Rs</w:t>
            </w:r>
          </w:p>
        </w:tc>
      </w:tr>
      <w:tr w:rsidR="00187305" w:rsidRPr="00A6486D" w14:paraId="03434DB9" w14:textId="77777777" w:rsidTr="005F0466">
        <w:trPr>
          <w:trHeight w:val="13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8A86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2460" w14:textId="77777777" w:rsidR="00187305" w:rsidRPr="00A6486D" w:rsidRDefault="00187305" w:rsidP="00BB3C42">
            <w:pPr>
              <w:pStyle w:val="TableParagraph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683</w:t>
            </w:r>
          </w:p>
        </w:tc>
      </w:tr>
      <w:tr w:rsidR="00187305" w:rsidRPr="00A6486D" w14:paraId="14755612" w14:textId="77777777" w:rsidTr="005F0466">
        <w:trPr>
          <w:trHeight w:val="16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5353" w14:textId="77777777" w:rsidR="00187305" w:rsidRPr="00A6486D" w:rsidRDefault="00187305" w:rsidP="00BB3C42">
            <w:pPr>
              <w:pStyle w:val="TableParagraph"/>
              <w:spacing w:line="268" w:lineRule="exac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7BEF" w14:textId="77777777" w:rsidR="00187305" w:rsidRPr="00A6486D" w:rsidRDefault="00187305" w:rsidP="00BB3C42">
            <w:pPr>
              <w:pStyle w:val="TableParagraph"/>
              <w:spacing w:line="268" w:lineRule="exact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650</w:t>
            </w:r>
          </w:p>
        </w:tc>
      </w:tr>
      <w:tr w:rsidR="00187305" w:rsidRPr="00A6486D" w14:paraId="2B53C244" w14:textId="77777777" w:rsidTr="005F0466">
        <w:trPr>
          <w:trHeight w:val="15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3A6A2" w14:textId="77777777" w:rsidR="00187305" w:rsidRPr="00A6486D" w:rsidRDefault="00187305" w:rsidP="00BB3C42">
            <w:pPr>
              <w:pStyle w:val="TableParagraph"/>
              <w:spacing w:line="268" w:lineRule="exac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9A9A" w14:textId="77777777" w:rsidR="00187305" w:rsidRPr="00A6486D" w:rsidRDefault="00187305" w:rsidP="00BB3C42">
            <w:pPr>
              <w:pStyle w:val="TableParagraph"/>
              <w:spacing w:line="268" w:lineRule="exact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720</w:t>
            </w:r>
          </w:p>
        </w:tc>
      </w:tr>
      <w:tr w:rsidR="00187305" w:rsidRPr="00A6486D" w14:paraId="00DD32A4" w14:textId="77777777" w:rsidTr="005F0466">
        <w:trPr>
          <w:trHeight w:val="145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66A5" w14:textId="77777777" w:rsidR="00187305" w:rsidRPr="00A6486D" w:rsidRDefault="00187305" w:rsidP="00BB3C42">
            <w:pPr>
              <w:pStyle w:val="TableParagraph"/>
              <w:spacing w:line="270" w:lineRule="exac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ADC4" w14:textId="77777777" w:rsidR="00187305" w:rsidRPr="00A6486D" w:rsidRDefault="00187305" w:rsidP="00BB3C42">
            <w:pPr>
              <w:pStyle w:val="TableParagraph"/>
              <w:spacing w:line="270" w:lineRule="exact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780</w:t>
            </w:r>
          </w:p>
        </w:tc>
      </w:tr>
      <w:tr w:rsidR="00187305" w:rsidRPr="00A6486D" w14:paraId="6AE15543" w14:textId="77777777" w:rsidTr="005F0466">
        <w:trPr>
          <w:trHeight w:val="18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6990" w14:textId="77777777" w:rsidR="00187305" w:rsidRPr="00A6486D" w:rsidRDefault="00187305" w:rsidP="00BB3C42">
            <w:pPr>
              <w:pStyle w:val="TableParagraph"/>
              <w:spacing w:line="270" w:lineRule="exac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84B1" w14:textId="77777777" w:rsidR="00187305" w:rsidRPr="00A6486D" w:rsidRDefault="00187305" w:rsidP="00BB3C42">
            <w:pPr>
              <w:pStyle w:val="TableParagraph"/>
              <w:spacing w:line="270" w:lineRule="exact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715</w:t>
            </w:r>
          </w:p>
        </w:tc>
      </w:tr>
      <w:tr w:rsidR="00187305" w:rsidRPr="00A6486D" w14:paraId="31779337" w14:textId="77777777" w:rsidTr="005F0466">
        <w:trPr>
          <w:trHeight w:val="13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D8CF" w14:textId="77777777" w:rsidR="00187305" w:rsidRPr="00A6486D" w:rsidRDefault="00187305" w:rsidP="00BB3C42">
            <w:pPr>
              <w:pStyle w:val="TableParagraph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2023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6594" w14:textId="77777777" w:rsidR="00187305" w:rsidRPr="00A6486D" w:rsidRDefault="00187305" w:rsidP="00BB3C42">
            <w:pPr>
              <w:pStyle w:val="TableParagraph"/>
              <w:ind w:left="0" w:right="97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A6486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800</w:t>
            </w:r>
          </w:p>
        </w:tc>
      </w:tr>
    </w:tbl>
    <w:p w14:paraId="53578483" w14:textId="77777777" w:rsidR="00187305" w:rsidRPr="00A6486D" w:rsidRDefault="00187305" w:rsidP="00187305">
      <w:pPr>
        <w:pStyle w:val="BodyText"/>
        <w:spacing w:before="157"/>
        <w:ind w:left="699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Considering</w:t>
      </w:r>
      <w:r w:rsidRPr="00A6486D">
        <w:rPr>
          <w:rFonts w:ascii="Arial" w:hAnsi="Arial" w:cs="Arial"/>
          <w:spacing w:val="-5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above,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compute:</w:t>
      </w:r>
    </w:p>
    <w:p w14:paraId="5F838621" w14:textId="26CC25CE" w:rsidR="00187305" w:rsidRPr="00A6486D" w:rsidRDefault="00187305" w:rsidP="00F30700">
      <w:pPr>
        <w:pStyle w:val="ListParagraph"/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spacing w:before="184" w:after="0" w:line="240" w:lineRule="auto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CAGR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Returns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for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period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5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Years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from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2018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to</w:t>
      </w:r>
      <w:r w:rsidRPr="00A6486D">
        <w:rPr>
          <w:rFonts w:ascii="Arial" w:hAnsi="Arial" w:cs="Arial"/>
          <w:spacing w:val="2"/>
          <w:sz w:val="24"/>
          <w:szCs w:val="24"/>
        </w:rPr>
        <w:t xml:space="preserve"> </w:t>
      </w:r>
      <w:r w:rsidR="005F0466">
        <w:rPr>
          <w:rFonts w:ascii="Arial" w:hAnsi="Arial" w:cs="Arial"/>
          <w:sz w:val="24"/>
          <w:szCs w:val="24"/>
        </w:rPr>
        <w:t xml:space="preserve">2023 </w:t>
      </w:r>
    </w:p>
    <w:p w14:paraId="53BD9972" w14:textId="5F679591" w:rsidR="00187305" w:rsidRPr="00A6486D" w:rsidRDefault="00187305" w:rsidP="00F30700">
      <w:pPr>
        <w:pStyle w:val="ListParagraph"/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spacing w:before="40" w:after="0"/>
        <w:ind w:right="592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Real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Return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Tata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Steel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for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the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5</w:t>
      </w:r>
      <w:r w:rsidRPr="00A6486D">
        <w:rPr>
          <w:rFonts w:ascii="Arial" w:hAnsi="Arial" w:cs="Arial"/>
          <w:spacing w:val="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Year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period</w:t>
      </w:r>
      <w:r w:rsidRPr="00A6486D">
        <w:rPr>
          <w:rFonts w:ascii="Arial" w:hAnsi="Arial" w:cs="Arial"/>
          <w:spacing w:val="-2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assuming</w:t>
      </w:r>
      <w:r w:rsidRPr="00A6486D">
        <w:rPr>
          <w:rFonts w:ascii="Arial" w:hAnsi="Arial" w:cs="Arial"/>
          <w:spacing w:val="-3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an</w:t>
      </w:r>
      <w:r w:rsidRPr="00A6486D">
        <w:rPr>
          <w:rFonts w:ascii="Arial" w:hAnsi="Arial" w:cs="Arial"/>
          <w:spacing w:val="-4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average</w:t>
      </w:r>
      <w:r w:rsidRPr="00A6486D">
        <w:rPr>
          <w:rFonts w:ascii="Arial" w:hAnsi="Arial" w:cs="Arial"/>
          <w:spacing w:val="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Inflation</w:t>
      </w:r>
      <w:r w:rsidRPr="00A6486D">
        <w:rPr>
          <w:rFonts w:ascii="Arial" w:hAnsi="Arial" w:cs="Arial"/>
          <w:spacing w:val="-1"/>
          <w:sz w:val="24"/>
          <w:szCs w:val="24"/>
        </w:rPr>
        <w:t xml:space="preserve"> </w:t>
      </w:r>
      <w:r w:rsidRPr="00A6486D">
        <w:rPr>
          <w:rFonts w:ascii="Arial" w:hAnsi="Arial" w:cs="Arial"/>
          <w:sz w:val="24"/>
          <w:szCs w:val="24"/>
        </w:rPr>
        <w:t>of</w:t>
      </w:r>
      <w:r w:rsidRPr="00A6486D">
        <w:rPr>
          <w:rFonts w:ascii="Arial" w:hAnsi="Arial" w:cs="Arial"/>
          <w:spacing w:val="-57"/>
          <w:sz w:val="24"/>
          <w:szCs w:val="24"/>
        </w:rPr>
        <w:t xml:space="preserve">            </w:t>
      </w:r>
      <w:r w:rsidR="005F0466">
        <w:rPr>
          <w:rFonts w:ascii="Arial" w:hAnsi="Arial" w:cs="Arial"/>
          <w:sz w:val="24"/>
          <w:szCs w:val="24"/>
        </w:rPr>
        <w:t xml:space="preserve"> 7% p.a. </w:t>
      </w:r>
      <w:r w:rsidRPr="00A6486D">
        <w:rPr>
          <w:rFonts w:ascii="Arial" w:hAnsi="Arial" w:cs="Arial"/>
          <w:sz w:val="24"/>
          <w:szCs w:val="24"/>
        </w:rPr>
        <w:t xml:space="preserve"> (CO:01 Application)</w:t>
      </w:r>
    </w:p>
    <w:p w14:paraId="2BB4951D" w14:textId="77777777" w:rsidR="00187305" w:rsidRPr="00974A3C" w:rsidRDefault="00187305" w:rsidP="00187305">
      <w:pPr>
        <w:pStyle w:val="ListParagraph"/>
        <w:widowControl w:val="0"/>
        <w:tabs>
          <w:tab w:val="left" w:pos="1180"/>
        </w:tabs>
        <w:autoSpaceDE w:val="0"/>
        <w:autoSpaceDN w:val="0"/>
        <w:spacing w:before="40" w:after="0"/>
        <w:ind w:left="1440" w:right="592"/>
        <w:rPr>
          <w:rFonts w:ascii="Times New Roman" w:hAnsi="Times New Roman"/>
          <w:sz w:val="24"/>
        </w:rPr>
      </w:pPr>
    </w:p>
    <w:p w14:paraId="700830AE" w14:textId="62BC3021" w:rsidR="001418A3" w:rsidRPr="00D04FEE" w:rsidRDefault="001418A3" w:rsidP="0094180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FE7EF08" w14:textId="6DB26637" w:rsidR="005D74EC" w:rsidRPr="008E0176" w:rsidRDefault="005D74EC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 w14:textId="09DBD05F" w:rsidR="005D74EC" w:rsidRDefault="005D74EC" w:rsidP="005D74E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94180B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5D145D69" w14:textId="10E31646" w:rsidR="00187305" w:rsidRPr="00A6486D" w:rsidRDefault="00187305" w:rsidP="00F30700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You are employed as a Financial Analyst with M/s Morgan Stanley. You are assigned the task of computing the Intrinsic Value per Equity Share of M/s Chaya Agro Ltd. The data that is provided to you is as follows:</w:t>
      </w:r>
    </w:p>
    <w:p w14:paraId="71507EC0" w14:textId="77777777" w:rsidR="00187305" w:rsidRPr="00A6486D" w:rsidRDefault="00187305" w:rsidP="001873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386"/>
        <w:gridCol w:w="1843"/>
      </w:tblGrid>
      <w:tr w:rsidR="00187305" w:rsidRPr="00A6486D" w14:paraId="67128C3C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463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486D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E87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305" w:rsidRPr="00A6486D" w14:paraId="1A64FF16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C6AB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Paid up Equity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650A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₹300 Lacs</w:t>
            </w:r>
          </w:p>
        </w:tc>
      </w:tr>
      <w:tr w:rsidR="00187305" w:rsidRPr="00A6486D" w14:paraId="22C05925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A94A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Face Value per Share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3B7F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 xml:space="preserve">₹ 10 </w:t>
            </w:r>
          </w:p>
        </w:tc>
      </w:tr>
      <w:tr w:rsidR="00187305" w:rsidRPr="00A6486D" w14:paraId="20BE4696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AA65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Profit after Tax for the Year ended 31st March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C93E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₹800 Lacs</w:t>
            </w:r>
          </w:p>
        </w:tc>
      </w:tr>
      <w:tr w:rsidR="00187305" w:rsidRPr="00A6486D" w14:paraId="041DE180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B405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Dividend Payout Ratio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0141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187305" w:rsidRPr="00A6486D" w14:paraId="7AEE5E90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889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Return on Equity (ROE)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799D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187305" w:rsidRPr="00A6486D" w14:paraId="3626003D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B50C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Beta of the 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5537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</w:tr>
      <w:tr w:rsidR="00187305" w:rsidRPr="00A6486D" w14:paraId="42E82BC7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F528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Risk Free Rate of Return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6EF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7.5% pa</w:t>
            </w:r>
          </w:p>
        </w:tc>
      </w:tr>
      <w:tr w:rsidR="00187305" w:rsidRPr="00A6486D" w14:paraId="05D3440C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39AC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Market Rate of Return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6728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18% pa</w:t>
            </w:r>
          </w:p>
        </w:tc>
      </w:tr>
      <w:tr w:rsidR="00187305" w:rsidRPr="00A6486D" w14:paraId="18EB9649" w14:textId="77777777" w:rsidTr="00BB3C4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406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 xml:space="preserve">Market Price per Share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E7A" w14:textId="77777777" w:rsidR="00187305" w:rsidRPr="00A6486D" w:rsidRDefault="00187305" w:rsidP="00BB3C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6D">
              <w:rPr>
                <w:rFonts w:ascii="Arial" w:hAnsi="Arial" w:cs="Arial"/>
                <w:sz w:val="24"/>
                <w:szCs w:val="24"/>
              </w:rPr>
              <w:t>₹240</w:t>
            </w:r>
          </w:p>
        </w:tc>
      </w:tr>
    </w:tbl>
    <w:p w14:paraId="20F11A94" w14:textId="77777777" w:rsidR="00187305" w:rsidRPr="00A6486D" w:rsidRDefault="00187305" w:rsidP="001873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C95721C" w14:textId="77777777" w:rsidR="00187305" w:rsidRPr="00A6486D" w:rsidRDefault="00187305" w:rsidP="0018730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Considering the above information, you are required to </w:t>
      </w:r>
    </w:p>
    <w:p w14:paraId="6C478DE9" w14:textId="77777777" w:rsidR="00187305" w:rsidRPr="00A6486D" w:rsidRDefault="00187305" w:rsidP="00F3070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Compute the Intrinsic Value per Equity Share </w:t>
      </w:r>
    </w:p>
    <w:p w14:paraId="101C1983" w14:textId="77777777" w:rsidR="00187305" w:rsidRPr="00A6486D" w:rsidRDefault="00187305" w:rsidP="00F3070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>Comment on whether this Share is Overpriced or Underpriced (CO:03 Analysis)</w:t>
      </w:r>
    </w:p>
    <w:p w14:paraId="54237EED" w14:textId="224EDDD7" w:rsidR="0094180B" w:rsidRPr="00A6486D" w:rsidRDefault="0094180B" w:rsidP="00187305">
      <w:pPr>
        <w:pStyle w:val="ListParagraph"/>
        <w:tabs>
          <w:tab w:val="left" w:pos="3150"/>
        </w:tabs>
        <w:ind w:left="630"/>
        <w:rPr>
          <w:rFonts w:ascii="Arial" w:hAnsi="Arial" w:cs="Arial"/>
          <w:sz w:val="24"/>
          <w:szCs w:val="24"/>
        </w:rPr>
      </w:pPr>
    </w:p>
    <w:p w14:paraId="14CCF8A2" w14:textId="77777777" w:rsidR="0094180B" w:rsidRDefault="0094180B" w:rsidP="00675EEE">
      <w:pPr>
        <w:pStyle w:val="ListParagraph"/>
        <w:tabs>
          <w:tab w:val="left" w:pos="3150"/>
        </w:tabs>
        <w:ind w:left="360"/>
        <w:rPr>
          <w:rFonts w:ascii="Arial" w:hAnsi="Arial" w:cs="Arial"/>
          <w:sz w:val="24"/>
          <w:szCs w:val="24"/>
        </w:rPr>
      </w:pPr>
    </w:p>
    <w:p w14:paraId="3352C988" w14:textId="77777777" w:rsidR="005F0466" w:rsidRDefault="005F0466" w:rsidP="00675EEE">
      <w:pPr>
        <w:pStyle w:val="ListParagraph"/>
        <w:tabs>
          <w:tab w:val="left" w:pos="3150"/>
        </w:tabs>
        <w:ind w:left="360"/>
        <w:rPr>
          <w:rFonts w:ascii="Arial" w:hAnsi="Arial" w:cs="Arial"/>
          <w:sz w:val="24"/>
          <w:szCs w:val="24"/>
        </w:rPr>
      </w:pPr>
    </w:p>
    <w:p w14:paraId="0A0A2919" w14:textId="77777777" w:rsidR="005F0466" w:rsidRDefault="005F0466" w:rsidP="00675EEE">
      <w:pPr>
        <w:pStyle w:val="ListParagraph"/>
        <w:tabs>
          <w:tab w:val="left" w:pos="3150"/>
        </w:tabs>
        <w:ind w:left="360"/>
        <w:rPr>
          <w:rFonts w:ascii="Arial" w:hAnsi="Arial" w:cs="Arial"/>
          <w:sz w:val="24"/>
          <w:szCs w:val="24"/>
        </w:rPr>
      </w:pPr>
    </w:p>
    <w:p w14:paraId="42D74A85" w14:textId="77777777" w:rsidR="005F0466" w:rsidRPr="00A6486D" w:rsidRDefault="005F0466" w:rsidP="00675EEE">
      <w:pPr>
        <w:pStyle w:val="ListParagraph"/>
        <w:tabs>
          <w:tab w:val="left" w:pos="3150"/>
        </w:tabs>
        <w:ind w:left="360"/>
        <w:rPr>
          <w:rFonts w:ascii="Arial" w:hAnsi="Arial" w:cs="Arial"/>
          <w:sz w:val="24"/>
          <w:szCs w:val="24"/>
        </w:rPr>
      </w:pPr>
    </w:p>
    <w:p w14:paraId="64D4805D" w14:textId="2D534A70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</w:rPr>
      </w:pPr>
      <w:r w:rsidRPr="00A6486D">
        <w:rPr>
          <w:rFonts w:ascii="Arial" w:eastAsiaTheme="minorEastAsia" w:hAnsi="Arial" w:cs="Arial"/>
          <w:color w:val="000000" w:themeColor="text1"/>
          <w:lang w:val="en-US" w:eastAsia="en-US"/>
        </w:rPr>
        <w:t xml:space="preserve">20  Calculate the duration of bond A. </w:t>
      </w:r>
      <w:r w:rsidRPr="00A6486D">
        <w:rPr>
          <w:rFonts w:ascii="Arial" w:eastAsiaTheme="minorEastAsia" w:hAnsi="Arial" w:cs="Arial"/>
          <w:color w:val="000000" w:themeColor="text1"/>
        </w:rPr>
        <w:t xml:space="preserve">Face value Rs.1000,Coupon rate- 9% payable annually, Years to maturity 5, Redemption value Rs.1000, Current market price 962, </w:t>
      </w:r>
    </w:p>
    <w:p w14:paraId="474D5610" w14:textId="77777777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</w:rPr>
      </w:pPr>
      <w:r w:rsidRPr="00A6486D">
        <w:rPr>
          <w:rFonts w:ascii="Arial" w:eastAsiaTheme="minorEastAsia" w:hAnsi="Arial" w:cs="Arial"/>
          <w:color w:val="000000" w:themeColor="text1"/>
        </w:rPr>
        <w:t>a) Compute Yield to Maturity</w:t>
      </w:r>
    </w:p>
    <w:p w14:paraId="7CEB7B53" w14:textId="77777777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</w:rPr>
      </w:pPr>
      <w:r w:rsidRPr="00A6486D">
        <w:rPr>
          <w:rFonts w:ascii="Arial" w:eastAsiaTheme="minorEastAsia" w:hAnsi="Arial" w:cs="Arial"/>
          <w:color w:val="000000" w:themeColor="text1"/>
        </w:rPr>
        <w:t>b) Duration of the Bond and Modified duration of the Bond</w:t>
      </w:r>
    </w:p>
    <w:p w14:paraId="70E72559" w14:textId="77777777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hAnsi="Arial" w:cs="Arial"/>
        </w:rPr>
      </w:pPr>
      <w:r w:rsidRPr="00A6486D">
        <w:rPr>
          <w:rFonts w:ascii="Arial" w:eastAsiaTheme="minorEastAsia" w:hAnsi="Arial" w:cs="Arial"/>
          <w:color w:val="000000" w:themeColor="text1"/>
        </w:rPr>
        <w:t>c)  What would be the price of this bond if interest rates in the economy move up by 100 basis points?</w:t>
      </w:r>
      <w:r w:rsidRPr="00A6486D">
        <w:rPr>
          <w:rFonts w:ascii="Arial" w:hAnsi="Arial" w:cs="Arial"/>
        </w:rPr>
        <w:t xml:space="preserve">  </w:t>
      </w:r>
    </w:p>
    <w:p w14:paraId="6E90AD75" w14:textId="77777777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</w:rPr>
      </w:pPr>
      <w:r w:rsidRPr="00A6486D">
        <w:rPr>
          <w:rFonts w:ascii="Arial" w:hAnsi="Arial" w:cs="Arial"/>
        </w:rPr>
        <w:t xml:space="preserve">                                                                                                   (C.O.No.4) [Application Level]  </w:t>
      </w:r>
    </w:p>
    <w:p w14:paraId="3F5B5186" w14:textId="77777777" w:rsidR="00187305" w:rsidRPr="00A6486D" w:rsidRDefault="00187305" w:rsidP="00187305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rFonts w:ascii="Arial" w:hAnsi="Arial" w:cs="Arial"/>
        </w:rPr>
      </w:pPr>
    </w:p>
    <w:p w14:paraId="1882E300" w14:textId="690E1441" w:rsidR="009B2616" w:rsidRPr="00A6486D" w:rsidRDefault="0094180B" w:rsidP="0094180B">
      <w:pPr>
        <w:pStyle w:val="ListParagraph"/>
        <w:rPr>
          <w:rFonts w:ascii="Arial" w:hAnsi="Arial" w:cs="Arial"/>
          <w:sz w:val="24"/>
          <w:szCs w:val="24"/>
        </w:rPr>
      </w:pPr>
      <w:r w:rsidRPr="00A6486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9B2616" w:rsidRPr="00A6486D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97EA" w14:textId="77777777" w:rsidR="00BA48B1" w:rsidRDefault="00BA48B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CA2546C" w14:textId="77777777" w:rsidR="00BA48B1" w:rsidRDefault="00BA48B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2ACBB8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60FA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60FAD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F2C80" w14:textId="77777777" w:rsidR="00BA48B1" w:rsidRDefault="00BA48B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7D45BBF" w14:textId="77777777" w:rsidR="00BA48B1" w:rsidRDefault="00BA48B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-900" w:hanging="360"/>
      </w:pPr>
    </w:lvl>
    <w:lvl w:ilvl="2" w:tplc="4009001B" w:tentative="1">
      <w:start w:val="1"/>
      <w:numFmt w:val="lowerRoman"/>
      <w:lvlText w:val="%3."/>
      <w:lvlJc w:val="right"/>
      <w:pPr>
        <w:ind w:left="-180" w:hanging="180"/>
      </w:pPr>
    </w:lvl>
    <w:lvl w:ilvl="3" w:tplc="4009000F" w:tentative="1">
      <w:start w:val="1"/>
      <w:numFmt w:val="decimal"/>
      <w:lvlText w:val="%4."/>
      <w:lvlJc w:val="left"/>
      <w:pPr>
        <w:ind w:left="540" w:hanging="360"/>
      </w:pPr>
    </w:lvl>
    <w:lvl w:ilvl="4" w:tplc="40090019" w:tentative="1">
      <w:start w:val="1"/>
      <w:numFmt w:val="lowerLetter"/>
      <w:lvlText w:val="%5."/>
      <w:lvlJc w:val="left"/>
      <w:pPr>
        <w:ind w:left="1260" w:hanging="360"/>
      </w:pPr>
    </w:lvl>
    <w:lvl w:ilvl="5" w:tplc="4009001B" w:tentative="1">
      <w:start w:val="1"/>
      <w:numFmt w:val="lowerRoman"/>
      <w:lvlText w:val="%6."/>
      <w:lvlJc w:val="right"/>
      <w:pPr>
        <w:ind w:left="1980" w:hanging="180"/>
      </w:pPr>
    </w:lvl>
    <w:lvl w:ilvl="6" w:tplc="4009000F" w:tentative="1">
      <w:start w:val="1"/>
      <w:numFmt w:val="decimal"/>
      <w:lvlText w:val="%7."/>
      <w:lvlJc w:val="left"/>
      <w:pPr>
        <w:ind w:left="2700" w:hanging="360"/>
      </w:pPr>
    </w:lvl>
    <w:lvl w:ilvl="7" w:tplc="40090019" w:tentative="1">
      <w:start w:val="1"/>
      <w:numFmt w:val="lowerLetter"/>
      <w:lvlText w:val="%8."/>
      <w:lvlJc w:val="left"/>
      <w:pPr>
        <w:ind w:left="3420" w:hanging="360"/>
      </w:pPr>
    </w:lvl>
    <w:lvl w:ilvl="8" w:tplc="40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1" w15:restartNumberingAfterBreak="0">
    <w:nsid w:val="118960A8"/>
    <w:multiLevelType w:val="hybridMultilevel"/>
    <w:tmpl w:val="145A2FE2"/>
    <w:lvl w:ilvl="0" w:tplc="315C1410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5B24433C"/>
    <w:multiLevelType w:val="hybridMultilevel"/>
    <w:tmpl w:val="77BE3792"/>
    <w:lvl w:ilvl="0" w:tplc="BEA200A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7F042E"/>
    <w:multiLevelType w:val="hybridMultilevel"/>
    <w:tmpl w:val="13AC2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354"/>
    <w:rsid w:val="00056855"/>
    <w:rsid w:val="00060A2C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AB2"/>
    <w:rsid w:val="00103325"/>
    <w:rsid w:val="0010425F"/>
    <w:rsid w:val="00107773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35FB"/>
    <w:rsid w:val="00174926"/>
    <w:rsid w:val="001769EA"/>
    <w:rsid w:val="00187305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60B5"/>
    <w:rsid w:val="001F7C76"/>
    <w:rsid w:val="00201982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0FAD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1EB7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C6D73"/>
    <w:rsid w:val="004D032E"/>
    <w:rsid w:val="004D1DE8"/>
    <w:rsid w:val="004D6A49"/>
    <w:rsid w:val="004E04BB"/>
    <w:rsid w:val="004E1A4A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5F0466"/>
    <w:rsid w:val="00600B6B"/>
    <w:rsid w:val="00602326"/>
    <w:rsid w:val="00607B4C"/>
    <w:rsid w:val="00615B25"/>
    <w:rsid w:val="00615E7B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0F89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0413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11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486D"/>
    <w:rsid w:val="00A6661A"/>
    <w:rsid w:val="00A7543B"/>
    <w:rsid w:val="00A823B5"/>
    <w:rsid w:val="00A82703"/>
    <w:rsid w:val="00A8489D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0776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48B1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5E69"/>
    <w:rsid w:val="00C70F56"/>
    <w:rsid w:val="00C719C0"/>
    <w:rsid w:val="00C731D1"/>
    <w:rsid w:val="00C73E15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0B91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8C3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0700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8730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32DFC-3AB1-4BC8-92EC-D6780DF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22</cp:revision>
  <cp:lastPrinted>2024-03-01T03:47:00Z</cp:lastPrinted>
  <dcterms:created xsi:type="dcterms:W3CDTF">2024-07-25T07:52:00Z</dcterms:created>
  <dcterms:modified xsi:type="dcterms:W3CDTF">2024-08-01T12:28:00Z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