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5A659B3D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986FD6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AC26A57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02BE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13</w:t>
            </w:r>
            <w:r w:rsidR="00986F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02EF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01</w:t>
            </w:r>
            <w:r w:rsidR="00986F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402EF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</w:t>
            </w:r>
            <w:r w:rsidR="00B5188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9570A"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09:30</w:t>
            </w:r>
            <w:r w:rsidR="00986F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9570A"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am – 12:30</w:t>
            </w:r>
            <w:r w:rsidR="00986FD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09570A" w:rsidRPr="000957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414DA847" w:rsidR="00053EB1" w:rsidRDefault="00053EB1" w:rsidP="00BD7EFA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BD7EFA" w:rsidRPr="00BD7EF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 &amp;SOM-UG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2FD07636" w:rsidR="00053EB1" w:rsidRDefault="00053EB1" w:rsidP="009F55BB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D240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F55BB" w:rsidRPr="009F55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BBB/</w:t>
            </w:r>
            <w:r w:rsidR="009F55BB" w:rsidRPr="009F55BB">
              <w:t xml:space="preserve"> </w:t>
            </w:r>
            <w:r w:rsidR="009F55BB" w:rsidRPr="009F55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BCH/B.COM. Hons (CMA)/</w:t>
            </w:r>
            <w:r w:rsidR="009F55BB" w:rsidRPr="009F55BB">
              <w:t xml:space="preserve"> </w:t>
            </w:r>
            <w:r w:rsidR="009F55BB" w:rsidRPr="009F55B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B.COM. (HONORS) (Business Analytics)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EB206D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8B61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Code:</w:t>
            </w:r>
            <w:r w:rsidR="00D240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4058" w:rsidRPr="00BD7E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BBA3001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548503C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</w:t>
            </w:r>
            <w:r w:rsidR="008B619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Name:</w:t>
            </w:r>
            <w:r w:rsidR="00D24058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D24058" w:rsidRPr="00BD7E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Securities An</w:t>
            </w:r>
            <w:r w:rsidR="00CC2C4E" w:rsidRPr="00BD7E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alysis and Portfolio</w:t>
            </w:r>
            <w:r w:rsidR="00CC2C4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CC2C4E" w:rsidRPr="00BD7E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6A146D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BD7EF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V</w:t>
            </w:r>
          </w:p>
        </w:tc>
        <w:tc>
          <w:tcPr>
            <w:tcW w:w="3402" w:type="dxa"/>
            <w:vAlign w:val="center"/>
          </w:tcPr>
          <w:p w14:paraId="3AB6E887" w14:textId="0FBC3C62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C2C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697BEEA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C2C4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6C98FD80" w:rsidR="00BC621A" w:rsidRDefault="008B619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1735" w:type="dxa"/>
          </w:tcPr>
          <w:p w14:paraId="15E465AD" w14:textId="7EEC50B1" w:rsidR="00BC621A" w:rsidRDefault="00D02BE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3A619574" w:rsidR="00BC621A" w:rsidRDefault="00D02BE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5EA5E4BC" w14:textId="00DFDAAA" w:rsidR="00BC621A" w:rsidRDefault="00D02BE6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</w:tcPr>
          <w:p w14:paraId="1D44F184" w14:textId="45CAC67E" w:rsidR="00BC621A" w:rsidRDefault="0015552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4249B3" w:rsidRPr="00293D36" w14:paraId="24BEDCA9" w14:textId="77777777" w:rsidTr="00715231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</w:tcPr>
          <w:p w14:paraId="6674B965" w14:textId="671E114E" w:rsidR="004249B3" w:rsidRPr="00155529" w:rsidRDefault="004249B3" w:rsidP="004249B3">
            <w:pPr>
              <w:spacing w:after="160" w:line="259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155529">
              <w:rPr>
                <w:rFonts w:ascii="Cambria" w:hAnsi="Cambria"/>
                <w:sz w:val="24"/>
                <w:szCs w:val="24"/>
              </w:rPr>
              <w:t>State any TWO differences between Investment and Speculation.</w:t>
            </w:r>
          </w:p>
        </w:tc>
        <w:tc>
          <w:tcPr>
            <w:tcW w:w="542" w:type="pct"/>
            <w:vAlign w:val="center"/>
          </w:tcPr>
          <w:p w14:paraId="26F94CA8" w14:textId="77777777" w:rsidR="004249B3" w:rsidRPr="00D307C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4249B3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249B3" w:rsidRPr="00293D36" w14:paraId="7FA7EDFD" w14:textId="77777777" w:rsidTr="00EF7263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</w:tcPr>
          <w:p w14:paraId="057F0BCA" w14:textId="078ABA1A" w:rsidR="004249B3" w:rsidRPr="00155529" w:rsidRDefault="004249B3" w:rsidP="004249B3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Fonts w:ascii="Cambria" w:hAnsi="Cambria"/>
                <w:sz w:val="24"/>
                <w:szCs w:val="24"/>
              </w:rPr>
              <w:t>Name any TWO risks faced by investors investing in Corporate Debentures.</w:t>
            </w:r>
          </w:p>
        </w:tc>
        <w:tc>
          <w:tcPr>
            <w:tcW w:w="542" w:type="pct"/>
            <w:vAlign w:val="center"/>
          </w:tcPr>
          <w:p w14:paraId="75F3EA38" w14:textId="77777777" w:rsidR="004249B3" w:rsidRPr="00D307C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4249B3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249B3" w:rsidRPr="00293D36" w14:paraId="313D53D0" w14:textId="77777777" w:rsidTr="00EF7263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</w:tcPr>
          <w:p w14:paraId="15126AC8" w14:textId="701225F9" w:rsidR="004249B3" w:rsidRPr="00155529" w:rsidRDefault="004249B3" w:rsidP="004249B3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Fonts w:ascii="Cambria" w:hAnsi="Cambria"/>
                <w:sz w:val="24"/>
                <w:szCs w:val="24"/>
              </w:rPr>
              <w:t>State any TWO Trend Reversal Patterns used in Technical Analysis.</w:t>
            </w:r>
          </w:p>
        </w:tc>
        <w:tc>
          <w:tcPr>
            <w:tcW w:w="542" w:type="pct"/>
            <w:vAlign w:val="center"/>
          </w:tcPr>
          <w:p w14:paraId="7E97407C" w14:textId="77777777" w:rsidR="004249B3" w:rsidRPr="00D307C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4249B3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249B3" w:rsidRPr="00293D36" w14:paraId="1580EE7E" w14:textId="77777777" w:rsidTr="00EF7263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</w:tcPr>
          <w:p w14:paraId="5F7EBA80" w14:textId="0347B9F2" w:rsidR="004249B3" w:rsidRPr="00155529" w:rsidRDefault="004249B3" w:rsidP="004249B3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Fonts w:ascii="Cambria" w:hAnsi="Cambria"/>
                <w:sz w:val="24"/>
                <w:szCs w:val="24"/>
              </w:rPr>
              <w:t>Draw and show the components of a Bar Chart as used in Technical Analysis.</w:t>
            </w:r>
          </w:p>
        </w:tc>
        <w:tc>
          <w:tcPr>
            <w:tcW w:w="542" w:type="pct"/>
            <w:vAlign w:val="center"/>
          </w:tcPr>
          <w:p w14:paraId="1BC5BA90" w14:textId="77777777" w:rsidR="004249B3" w:rsidRPr="00D307C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4249B3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249B3" w:rsidRPr="00293D36" w14:paraId="0E6CCD96" w14:textId="77777777" w:rsidTr="00715231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19CB6BEE" w:rsidR="004249B3" w:rsidRPr="00155529" w:rsidRDefault="00143019" w:rsidP="004249B3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Style w:val="normaltextrun"/>
                <w:rFonts w:ascii="Cambria" w:hAnsi="Cambria" w:cs="Segoe UI"/>
              </w:rPr>
              <w:t>State what does Jensen’s Alpha represent. Also Recall how it is Calculated.</w:t>
            </w:r>
            <w:r w:rsidRPr="00155529">
              <w:rPr>
                <w:rStyle w:val="eop"/>
                <w:rFonts w:ascii="Cambria" w:hAnsi="Cambria" w:cs="Segoe UI"/>
              </w:rPr>
              <w:t> </w:t>
            </w:r>
          </w:p>
        </w:tc>
        <w:tc>
          <w:tcPr>
            <w:tcW w:w="542" w:type="pct"/>
            <w:vAlign w:val="center"/>
          </w:tcPr>
          <w:p w14:paraId="2F938D29" w14:textId="77777777" w:rsidR="004249B3" w:rsidRPr="00D307C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4249B3" w:rsidRPr="00293D36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4249B3" w:rsidRDefault="004249B3" w:rsidP="004249B3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43019" w:rsidRPr="00293D36" w14:paraId="06616007" w14:textId="77777777" w:rsidTr="00EF7263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</w:tcPr>
          <w:p w14:paraId="4A813D5A" w14:textId="4F5B2951" w:rsidR="00143019" w:rsidRPr="00155529" w:rsidRDefault="00143019" w:rsidP="00143019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Style w:val="normaltextrun"/>
                <w:rFonts w:ascii="Cambria" w:hAnsi="Cambria" w:cs="Segoe UI"/>
              </w:rPr>
              <w:t>Draw and show the components of a Candle Stick as used in Technical Charts.</w:t>
            </w:r>
            <w:r w:rsidRPr="00155529">
              <w:rPr>
                <w:rStyle w:val="eop"/>
                <w:rFonts w:ascii="Cambria" w:hAnsi="Cambria" w:cs="Segoe UI"/>
              </w:rPr>
              <w:t> </w:t>
            </w:r>
          </w:p>
        </w:tc>
        <w:tc>
          <w:tcPr>
            <w:tcW w:w="542" w:type="pct"/>
            <w:vAlign w:val="center"/>
          </w:tcPr>
          <w:p w14:paraId="5B1B733F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43019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774CF0DF" w:rsidR="00143019" w:rsidRPr="00155529" w:rsidRDefault="00143019" w:rsidP="00143019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Style w:val="normaltextrun"/>
                <w:rFonts w:ascii="Cambria" w:hAnsi="Cambria" w:cs="Segoe UI"/>
              </w:rPr>
              <w:t>List out any FOUR Economic Indicators that help in analyzing an Economy.</w:t>
            </w:r>
            <w:r w:rsidRPr="00155529">
              <w:rPr>
                <w:rStyle w:val="eop"/>
                <w:rFonts w:ascii="Cambria" w:hAnsi="Cambria" w:cs="Segoe UI"/>
              </w:rPr>
              <w:t> </w:t>
            </w:r>
          </w:p>
        </w:tc>
        <w:tc>
          <w:tcPr>
            <w:tcW w:w="542" w:type="pct"/>
            <w:vAlign w:val="center"/>
          </w:tcPr>
          <w:p w14:paraId="7E03B34A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43019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5DC1A328" w:rsidR="00143019" w:rsidRPr="00155529" w:rsidRDefault="00143019" w:rsidP="00143019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Style w:val="normaltextrun"/>
                <w:rFonts w:ascii="Cambria" w:hAnsi="Cambria" w:cs="Segoe UI"/>
              </w:rPr>
              <w:t>State any two assumptions of Technical Analysis.</w:t>
            </w:r>
            <w:r w:rsidRPr="00155529">
              <w:rPr>
                <w:rStyle w:val="eop"/>
                <w:rFonts w:ascii="Cambria" w:hAnsi="Cambria" w:cs="Segoe UI"/>
              </w:rPr>
              <w:t> </w:t>
            </w:r>
          </w:p>
        </w:tc>
        <w:tc>
          <w:tcPr>
            <w:tcW w:w="542" w:type="pct"/>
            <w:vAlign w:val="center"/>
          </w:tcPr>
          <w:p w14:paraId="0F416A66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143019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3214" w:type="pct"/>
            <w:vAlign w:val="center"/>
          </w:tcPr>
          <w:p w14:paraId="72666C6E" w14:textId="689D1104" w:rsidR="00143019" w:rsidRPr="00155529" w:rsidRDefault="00143019" w:rsidP="00143019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Style w:val="normaltextrun"/>
                <w:rFonts w:ascii="Cambria" w:hAnsi="Cambria" w:cs="Segoe UI"/>
              </w:rPr>
              <w:t>Recall the classification of Markets as per Efficient Market Hypothesis.</w:t>
            </w:r>
            <w:r w:rsidRPr="00155529">
              <w:rPr>
                <w:rStyle w:val="eop"/>
                <w:rFonts w:ascii="Cambria" w:hAnsi="Cambria" w:cs="Segoe UI"/>
              </w:rPr>
              <w:t> </w:t>
            </w:r>
          </w:p>
        </w:tc>
        <w:tc>
          <w:tcPr>
            <w:tcW w:w="542" w:type="pct"/>
            <w:vAlign w:val="center"/>
          </w:tcPr>
          <w:p w14:paraId="5E5ABA1C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143019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2BF857EA" w:rsidR="00143019" w:rsidRPr="00155529" w:rsidRDefault="00143019" w:rsidP="00143019">
            <w:pPr>
              <w:spacing w:after="160" w:line="259" w:lineRule="auto"/>
              <w:rPr>
                <w:rFonts w:ascii="Cambria" w:hAnsi="Cambria" w:cstheme="minorHAnsi"/>
                <w:sz w:val="24"/>
                <w:szCs w:val="24"/>
              </w:rPr>
            </w:pPr>
            <w:r w:rsidRPr="00155529">
              <w:rPr>
                <w:rFonts w:ascii="Cambria" w:hAnsi="Cambria"/>
                <w:sz w:val="24"/>
                <w:szCs w:val="24"/>
              </w:rPr>
              <w:t>Recall the meaning of Duration of a Bond.</w:t>
            </w:r>
          </w:p>
        </w:tc>
        <w:tc>
          <w:tcPr>
            <w:tcW w:w="542" w:type="pct"/>
            <w:vAlign w:val="center"/>
          </w:tcPr>
          <w:p w14:paraId="06A4EB46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43019" w:rsidRDefault="00143019" w:rsidP="00143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2620A8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446C9CE2" w:rsidR="001B1AA4" w:rsidRPr="00CB5FCD" w:rsidRDefault="00155529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3A2CE19B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DA76" w14:textId="57BC2B35" w:rsidR="008B6196" w:rsidRPr="002A439D" w:rsidRDefault="008B6196" w:rsidP="008B6196">
            <w:pPr>
              <w:spacing w:after="0"/>
              <w:jc w:val="both"/>
              <w:rPr>
                <w:rFonts w:ascii="Times New Roman" w:eastAsia="Aptos" w:hAnsi="Times New Roman"/>
                <w:kern w:val="2"/>
                <w:sz w:val="24"/>
                <w:szCs w:val="24"/>
                <w:lang w:val="en-IN"/>
                <w14:ligatures w14:val="standardContextual"/>
              </w:rPr>
            </w:pPr>
            <w:r w:rsidRPr="002A439D">
              <w:rPr>
                <w:rFonts w:ascii="Times New Roman" w:eastAsia="Aptos" w:hAnsi="Times New Roman"/>
                <w:kern w:val="2"/>
                <w:sz w:val="24"/>
                <w:szCs w:val="24"/>
                <w:lang w:val="en-IN"/>
                <w14:ligatures w14:val="standardContextual"/>
              </w:rPr>
              <w:t xml:space="preserve">The following are the data on five mutual funds and the risk-free rate is 6%. </w:t>
            </w:r>
            <w:r w:rsidR="00177DCC">
              <w:rPr>
                <w:rFonts w:ascii="Times New Roman" w:eastAsia="Aptos" w:hAnsi="Times New Roman"/>
                <w:kern w:val="2"/>
                <w:sz w:val="24"/>
                <w:szCs w:val="24"/>
                <w:lang w:val="en-IN"/>
                <w14:ligatures w14:val="standardContextual"/>
              </w:rPr>
              <w:t xml:space="preserve">Rank </w:t>
            </w:r>
            <w:r w:rsidRPr="002A439D">
              <w:rPr>
                <w:rFonts w:ascii="Times New Roman" w:eastAsia="Aptos" w:hAnsi="Times New Roman"/>
                <w:kern w:val="2"/>
                <w:sz w:val="24"/>
                <w:szCs w:val="24"/>
                <w:lang w:val="en-IN"/>
                <w14:ligatures w14:val="standardContextual"/>
              </w:rPr>
              <w:t>these portfolios using Sharpe method and Treynor method.</w:t>
            </w:r>
          </w:p>
          <w:p w14:paraId="1EA58BA7" w14:textId="77777777" w:rsidR="008B6196" w:rsidRPr="002A439D" w:rsidRDefault="008B6196" w:rsidP="008B6196">
            <w:pPr>
              <w:spacing w:after="0"/>
              <w:jc w:val="both"/>
              <w:rPr>
                <w:rFonts w:ascii="Times New Roman" w:eastAsia="Aptos" w:hAnsi="Times New Roman" w:cstheme="minorHAnsi"/>
                <w:b/>
                <w:kern w:val="2"/>
                <w:sz w:val="24"/>
                <w:szCs w:val="24"/>
                <w14:ligatures w14:val="standardContextual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19"/>
              <w:gridCol w:w="1317"/>
              <w:gridCol w:w="1449"/>
              <w:gridCol w:w="1176"/>
            </w:tblGrid>
            <w:tr w:rsidR="008B6196" w:rsidRPr="002A439D" w14:paraId="33109954" w14:textId="77777777" w:rsidTr="005D0E65">
              <w:tc>
                <w:tcPr>
                  <w:tcW w:w="1219" w:type="dxa"/>
                </w:tcPr>
                <w:p w14:paraId="4FEB54A4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  <w:t>Fund</w:t>
                  </w:r>
                </w:p>
              </w:tc>
              <w:tc>
                <w:tcPr>
                  <w:tcW w:w="1317" w:type="dxa"/>
                </w:tcPr>
                <w:p w14:paraId="121B02A7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  <w:t>Return</w:t>
                  </w:r>
                </w:p>
              </w:tc>
              <w:tc>
                <w:tcPr>
                  <w:tcW w:w="1449" w:type="dxa"/>
                </w:tcPr>
                <w:p w14:paraId="314189CD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  <w:t>Standard Deviation</w:t>
                  </w:r>
                </w:p>
              </w:tc>
              <w:tc>
                <w:tcPr>
                  <w:tcW w:w="1176" w:type="dxa"/>
                </w:tcPr>
                <w:p w14:paraId="3A503BBD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/>
                      <w:kern w:val="2"/>
                      <w:sz w:val="24"/>
                      <w:szCs w:val="24"/>
                      <w14:ligatures w14:val="standardContextual"/>
                    </w:rPr>
                    <w:t xml:space="preserve">Beta </w:t>
                  </w:r>
                </w:p>
              </w:tc>
            </w:tr>
            <w:tr w:rsidR="008B6196" w:rsidRPr="002A439D" w14:paraId="53585638" w14:textId="77777777" w:rsidTr="005D0E65">
              <w:tc>
                <w:tcPr>
                  <w:tcW w:w="1219" w:type="dxa"/>
                </w:tcPr>
                <w:p w14:paraId="1ED6F2ED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A</w:t>
                  </w:r>
                </w:p>
              </w:tc>
              <w:tc>
                <w:tcPr>
                  <w:tcW w:w="1317" w:type="dxa"/>
                </w:tcPr>
                <w:p w14:paraId="3732258C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15</w:t>
                  </w:r>
                </w:p>
              </w:tc>
              <w:tc>
                <w:tcPr>
                  <w:tcW w:w="1449" w:type="dxa"/>
                </w:tcPr>
                <w:p w14:paraId="19D72F39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7</w:t>
                  </w:r>
                </w:p>
              </w:tc>
              <w:tc>
                <w:tcPr>
                  <w:tcW w:w="1176" w:type="dxa"/>
                </w:tcPr>
                <w:p w14:paraId="6F3B5C7F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1.25</w:t>
                  </w:r>
                </w:p>
              </w:tc>
            </w:tr>
            <w:tr w:rsidR="008B6196" w:rsidRPr="002A439D" w14:paraId="7BDD5486" w14:textId="77777777" w:rsidTr="005D0E65">
              <w:tc>
                <w:tcPr>
                  <w:tcW w:w="1219" w:type="dxa"/>
                </w:tcPr>
                <w:p w14:paraId="7EF07356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B</w:t>
                  </w:r>
                </w:p>
              </w:tc>
              <w:tc>
                <w:tcPr>
                  <w:tcW w:w="1317" w:type="dxa"/>
                </w:tcPr>
                <w:p w14:paraId="6985B801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18</w:t>
                  </w:r>
                </w:p>
              </w:tc>
              <w:tc>
                <w:tcPr>
                  <w:tcW w:w="1449" w:type="dxa"/>
                </w:tcPr>
                <w:p w14:paraId="49F0F1AD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10</w:t>
                  </w:r>
                </w:p>
              </w:tc>
              <w:tc>
                <w:tcPr>
                  <w:tcW w:w="1176" w:type="dxa"/>
                </w:tcPr>
                <w:p w14:paraId="3B746898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0.75</w:t>
                  </w:r>
                </w:p>
              </w:tc>
            </w:tr>
            <w:tr w:rsidR="008B6196" w:rsidRPr="002A439D" w14:paraId="4A820991" w14:textId="77777777" w:rsidTr="005D0E65">
              <w:tc>
                <w:tcPr>
                  <w:tcW w:w="1219" w:type="dxa"/>
                </w:tcPr>
                <w:p w14:paraId="7500998E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C</w:t>
                  </w:r>
                </w:p>
              </w:tc>
              <w:tc>
                <w:tcPr>
                  <w:tcW w:w="1317" w:type="dxa"/>
                </w:tcPr>
                <w:p w14:paraId="330FC69C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14</w:t>
                  </w:r>
                </w:p>
              </w:tc>
              <w:tc>
                <w:tcPr>
                  <w:tcW w:w="1449" w:type="dxa"/>
                </w:tcPr>
                <w:p w14:paraId="7F432968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5</w:t>
                  </w:r>
                </w:p>
              </w:tc>
              <w:tc>
                <w:tcPr>
                  <w:tcW w:w="1176" w:type="dxa"/>
                </w:tcPr>
                <w:p w14:paraId="4E9879B6" w14:textId="77777777" w:rsidR="008B6196" w:rsidRPr="002A439D" w:rsidRDefault="008B6196" w:rsidP="008B6196">
                  <w:pPr>
                    <w:spacing w:after="0"/>
                    <w:jc w:val="both"/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</w:pPr>
                  <w:r w:rsidRPr="002A439D">
                    <w:rPr>
                      <w:rFonts w:ascii="Times New Roman" w:eastAsia="Aptos" w:hAnsi="Times New Roman" w:cstheme="minorHAnsi"/>
                      <w:bCs/>
                      <w:kern w:val="2"/>
                      <w:sz w:val="24"/>
                      <w:szCs w:val="24"/>
                      <w14:ligatures w14:val="standardContextual"/>
                    </w:rPr>
                    <w:t>1.40</w:t>
                  </w:r>
                </w:p>
              </w:tc>
            </w:tr>
          </w:tbl>
          <w:p w14:paraId="11427E59" w14:textId="4343544B" w:rsidR="001B1AA4" w:rsidRPr="00CB5FCD" w:rsidRDefault="001B1AA4" w:rsidP="007A468A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1B1AA4" w:rsidRPr="00CB5FCD" w14:paraId="67BFF41D" w14:textId="77777777" w:rsidTr="00FB45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8B5376" w:rsidRPr="00CB5FCD" w14:paraId="70060DDC" w14:textId="77777777" w:rsidTr="00FB4567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36216503" w:rsidR="008B5376" w:rsidRPr="00CB5FCD" w:rsidRDefault="00FB4567" w:rsidP="008B5376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66D7D604" w:rsidR="008B5376" w:rsidRPr="00CB5FCD" w:rsidRDefault="008B5376" w:rsidP="008B537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779775BD" w:rsidR="008B5376" w:rsidRPr="00CB5FCD" w:rsidRDefault="008B6196" w:rsidP="008B6196">
            <w:pPr>
              <w:spacing w:after="0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Kumar</w:t>
            </w:r>
            <w:r w:rsidRPr="004F742E">
              <w:rPr>
                <w:rFonts w:ascii="Cambria" w:hAnsi="Cambria" w:cstheme="minorHAnsi"/>
                <w:bCs/>
                <w:sz w:val="24"/>
                <w:szCs w:val="24"/>
              </w:rPr>
              <w:t xml:space="preserve">, a seasoned investor, is considering investing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Rs. 4</w:t>
            </w:r>
            <w:r w:rsidRPr="004F742E">
              <w:rPr>
                <w:rFonts w:ascii="Cambria" w:hAnsi="Cambria" w:cstheme="minorHAnsi"/>
                <w:bCs/>
                <w:sz w:val="24"/>
                <w:szCs w:val="24"/>
              </w:rPr>
              <w:t>00,000 in a promising tech startup that specializes in artificial intelligence solutions. The startup has a solid business plan, a talented team, and a potentially disruptive product. However, the tech industry is competitive, and startups are inherently risky. Before making the investment, John decides to calculate the risks involved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before investing the fund. Assume you are the investment manager; how will you </w:t>
            </w:r>
            <w:r w:rsidRPr="00D02BE6">
              <w:rPr>
                <w:rFonts w:ascii="Cambria" w:hAnsi="Cambria" w:cstheme="minorHAnsi"/>
                <w:b/>
                <w:sz w:val="24"/>
                <w:szCs w:val="24"/>
              </w:rPr>
              <w:t>explain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him about various risks associated with his investment decisions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8B5376" w:rsidRPr="00CB5FCD" w:rsidRDefault="008B5376" w:rsidP="008B5376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8B5376" w:rsidRPr="00CB5FCD" w:rsidRDefault="008B5376" w:rsidP="008B537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77777777" w:rsidR="008B5376" w:rsidRPr="00CB5FCD" w:rsidRDefault="008B5376" w:rsidP="008B5376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3105E1EC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747C5E85" w:rsidR="001B1AA4" w:rsidRPr="00CB5FCD" w:rsidRDefault="00FB456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0DE972D6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9E2D6" w14:textId="77777777" w:rsidR="00066EDC" w:rsidRDefault="00066EDC" w:rsidP="00066EDC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Calculate Per Period Return for the following data.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272"/>
              <w:gridCol w:w="1376"/>
              <w:gridCol w:w="1307"/>
              <w:gridCol w:w="1419"/>
            </w:tblGrid>
            <w:tr w:rsidR="00066EDC" w14:paraId="26AD0076" w14:textId="77777777" w:rsidTr="006A2F23">
              <w:trPr>
                <w:trHeight w:val="227"/>
              </w:trPr>
              <w:tc>
                <w:tcPr>
                  <w:tcW w:w="1659" w:type="dxa"/>
                  <w:vAlign w:val="center"/>
                </w:tcPr>
                <w:p w14:paraId="529FF938" w14:textId="77777777" w:rsidR="00066EDC" w:rsidRPr="00BD7AB9" w:rsidRDefault="00066EDC" w:rsidP="00066EDC">
                  <w:pPr>
                    <w:spacing w:line="240" w:lineRule="auto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BD7AB9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Period</w:t>
                  </w:r>
                </w:p>
              </w:tc>
              <w:tc>
                <w:tcPr>
                  <w:tcW w:w="1660" w:type="dxa"/>
                  <w:vAlign w:val="center"/>
                </w:tcPr>
                <w:p w14:paraId="5E28AC23" w14:textId="77777777" w:rsidR="00066EDC" w:rsidRPr="00BD7AB9" w:rsidRDefault="00066EDC" w:rsidP="00066EDC">
                  <w:pPr>
                    <w:spacing w:line="240" w:lineRule="auto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BD7AB9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Opening Price of Share</w:t>
                  </w:r>
                </w:p>
              </w:tc>
              <w:tc>
                <w:tcPr>
                  <w:tcW w:w="1660" w:type="dxa"/>
                  <w:vAlign w:val="center"/>
                </w:tcPr>
                <w:p w14:paraId="5960AFE7" w14:textId="77777777" w:rsidR="00066EDC" w:rsidRPr="00BD7AB9" w:rsidRDefault="00066EDC" w:rsidP="00066EDC">
                  <w:pPr>
                    <w:spacing w:line="240" w:lineRule="auto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BD7AB9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Closing Price of Share</w:t>
                  </w:r>
                </w:p>
              </w:tc>
              <w:tc>
                <w:tcPr>
                  <w:tcW w:w="1660" w:type="dxa"/>
                  <w:vAlign w:val="center"/>
                </w:tcPr>
                <w:p w14:paraId="6D490E0D" w14:textId="77777777" w:rsidR="00066EDC" w:rsidRPr="00BD7AB9" w:rsidRDefault="00066EDC" w:rsidP="00066EDC">
                  <w:pPr>
                    <w:spacing w:line="240" w:lineRule="auto"/>
                    <w:jc w:val="center"/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</w:pPr>
                  <w:r w:rsidRPr="00BD7AB9">
                    <w:rPr>
                      <w:rFonts w:ascii="Cambria" w:hAnsi="Cambria" w:cstheme="minorHAnsi"/>
                      <w:b/>
                      <w:sz w:val="24"/>
                      <w:szCs w:val="24"/>
                    </w:rPr>
                    <w:t>Dividend</w:t>
                  </w:r>
                </w:p>
              </w:tc>
            </w:tr>
            <w:tr w:rsidR="00066EDC" w14:paraId="144F6ABA" w14:textId="77777777" w:rsidTr="006A2F23">
              <w:trPr>
                <w:trHeight w:val="227"/>
              </w:trPr>
              <w:tc>
                <w:tcPr>
                  <w:tcW w:w="1659" w:type="dxa"/>
                </w:tcPr>
                <w:p w14:paraId="55F76C88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660" w:type="dxa"/>
                </w:tcPr>
                <w:p w14:paraId="100B8A0E" w14:textId="1F1F673B" w:rsidR="00066EDC" w:rsidRDefault="00066EDC" w:rsidP="00066EDC">
                  <w:pPr>
                    <w:spacing w:after="0"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  <w:r w:rsidR="007A468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660" w:type="dxa"/>
                </w:tcPr>
                <w:p w14:paraId="25BBFD1A" w14:textId="188D1D14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  <w:r w:rsidR="007A468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</w:tcPr>
                <w:p w14:paraId="37E982E5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1.00</w:t>
                  </w:r>
                </w:p>
              </w:tc>
            </w:tr>
            <w:tr w:rsidR="00066EDC" w14:paraId="2ADA3A4D" w14:textId="77777777" w:rsidTr="006A2F23">
              <w:trPr>
                <w:trHeight w:val="227"/>
              </w:trPr>
              <w:tc>
                <w:tcPr>
                  <w:tcW w:w="1659" w:type="dxa"/>
                </w:tcPr>
                <w:p w14:paraId="45BE2BC0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0" w:type="dxa"/>
                </w:tcPr>
                <w:p w14:paraId="2BA137D9" w14:textId="20D20809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  <w:r w:rsidR="007A468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</w:tcPr>
                <w:p w14:paraId="62E8442A" w14:textId="6E6F7F6A" w:rsidR="00066EDC" w:rsidRDefault="007A468A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60" w:type="dxa"/>
                </w:tcPr>
                <w:p w14:paraId="038BF247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1.50</w:t>
                  </w:r>
                </w:p>
              </w:tc>
            </w:tr>
            <w:tr w:rsidR="00066EDC" w14:paraId="6618BF95" w14:textId="77777777" w:rsidTr="006A2F23">
              <w:trPr>
                <w:trHeight w:val="227"/>
              </w:trPr>
              <w:tc>
                <w:tcPr>
                  <w:tcW w:w="1659" w:type="dxa"/>
                </w:tcPr>
                <w:p w14:paraId="10FB71C5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60" w:type="dxa"/>
                </w:tcPr>
                <w:p w14:paraId="19484538" w14:textId="6B03672A" w:rsidR="00066EDC" w:rsidRDefault="007A468A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660" w:type="dxa"/>
                </w:tcPr>
                <w:p w14:paraId="04944718" w14:textId="03B9BD4D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  <w:r w:rsidR="007A468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0" w:type="dxa"/>
                </w:tcPr>
                <w:p w14:paraId="47781DB7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0.50</w:t>
                  </w:r>
                </w:p>
              </w:tc>
            </w:tr>
            <w:tr w:rsidR="00066EDC" w14:paraId="726D3990" w14:textId="77777777" w:rsidTr="006A2F23">
              <w:trPr>
                <w:trHeight w:val="227"/>
              </w:trPr>
              <w:tc>
                <w:tcPr>
                  <w:tcW w:w="1659" w:type="dxa"/>
                </w:tcPr>
                <w:p w14:paraId="5E7AA99E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660" w:type="dxa"/>
                </w:tcPr>
                <w:p w14:paraId="22CA0138" w14:textId="2BF48CEA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  <w:r w:rsidR="007A468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660" w:type="dxa"/>
                </w:tcPr>
                <w:p w14:paraId="3A9D8D9F" w14:textId="1D2A7203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6</w:t>
                  </w:r>
                  <w:r w:rsidR="007A468A"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60" w:type="dxa"/>
                </w:tcPr>
                <w:p w14:paraId="494EE327" w14:textId="77777777" w:rsidR="00066EDC" w:rsidRDefault="00066EDC" w:rsidP="00066EDC">
                  <w:pPr>
                    <w:spacing w:line="240" w:lineRule="auto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</w:rPr>
                    <w:t>1.00</w:t>
                  </w:r>
                </w:p>
              </w:tc>
            </w:tr>
          </w:tbl>
          <w:p w14:paraId="45FE693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7092B4F7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382270" w:rsidRPr="00CB5FCD" w14:paraId="05C4061B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4244B64A" w:rsidR="00382270" w:rsidRPr="00CB5FCD" w:rsidRDefault="00FB4567" w:rsidP="00382270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4FE72241" w:rsidR="00382270" w:rsidRPr="00CB5FCD" w:rsidRDefault="00382270" w:rsidP="0038227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DC6" w14:textId="5818A35F" w:rsidR="00382270" w:rsidRDefault="00382270" w:rsidP="0038227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Long Term Liability (Debenture) – 20000</w:t>
            </w:r>
          </w:p>
          <w:p w14:paraId="1C0226B8" w14:textId="0692F08F" w:rsidR="00382270" w:rsidRDefault="00382270" w:rsidP="0038227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Total Assets – 30000</w:t>
            </w:r>
          </w:p>
          <w:p w14:paraId="199426C1" w14:textId="07CA18B0" w:rsidR="00382270" w:rsidRDefault="00382270" w:rsidP="0038227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Total Liabilities – 30000</w:t>
            </w:r>
          </w:p>
          <w:p w14:paraId="639F7FA5" w14:textId="2485F415" w:rsidR="00382270" w:rsidRDefault="00382270" w:rsidP="0038227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Total Short-term liabilities </w:t>
            </w:r>
            <w:r w:rsidR="007B34C2">
              <w:rPr>
                <w:rFonts w:ascii="Cambria" w:hAnsi="Cambria" w:cstheme="minorHAnsi"/>
                <w:bCs/>
                <w:sz w:val="24"/>
                <w:szCs w:val="24"/>
              </w:rPr>
              <w:t>–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2000</w:t>
            </w:r>
          </w:p>
          <w:p w14:paraId="6513D5E9" w14:textId="066FFC67" w:rsidR="00382270" w:rsidRPr="00CB5FCD" w:rsidRDefault="00382270" w:rsidP="00382270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Calculate Debt Equity Ratio.</w:t>
            </w:r>
            <w:r w:rsidR="007B34C2">
              <w:rPr>
                <w:rFonts w:ascii="Cambria" w:hAnsi="Cambria" w:cstheme="minorHAnsi"/>
                <w:bCs/>
                <w:sz w:val="24"/>
                <w:szCs w:val="24"/>
              </w:rPr>
              <w:t xml:space="preserve"> Provide the Interpretation for the Results.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382270" w:rsidRPr="00CB5FCD" w:rsidRDefault="00382270" w:rsidP="0038227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382270" w:rsidRPr="00CB5FCD" w:rsidRDefault="00382270" w:rsidP="0038227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77777777" w:rsidR="00382270" w:rsidRPr="00CB5FCD" w:rsidRDefault="00382270" w:rsidP="00382270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46D1810" w:rsidR="001B1AA4" w:rsidRPr="00CB5FCD" w:rsidRDefault="00FB456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7119FF6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72252F71" w:rsidR="001B1AA4" w:rsidRPr="00CB5FCD" w:rsidRDefault="00020B0D" w:rsidP="00020B0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75422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You have been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hired </w:t>
            </w:r>
            <w:r w:rsidRPr="0075422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as a consultant to help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Ram Ltd. to manage and grow its wealth. </w:t>
            </w:r>
            <w:r w:rsidRPr="0075422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In this regard</w:t>
            </w:r>
            <w:r w:rsidRPr="00F510A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,</w:t>
            </w:r>
            <w:r w:rsidRPr="00F510A6">
              <w:rPr>
                <w:rFonts w:ascii="Cambria" w:hAnsi="Cambria" w:cstheme="minorHAnsi"/>
                <w:b/>
                <w:bCs/>
                <w:sz w:val="24"/>
                <w:szCs w:val="24"/>
                <w:lang w:val="en-IN"/>
              </w:rPr>
              <w:t xml:space="preserve"> explain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the </w:t>
            </w:r>
            <w:r w:rsidRPr="0075422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key s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teps involved in the investment process.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2BD441BC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3A3C6EF6" w:rsidR="001B1AA4" w:rsidRPr="00CB5FCD" w:rsidRDefault="00FB4567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0D6768C3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4F4FED03" w:rsidR="001B1AA4" w:rsidRPr="00CB5FCD" w:rsidRDefault="004D0928" w:rsidP="004D0928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Mr.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X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 buys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20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00 shares of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ABC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 Ltd for Rs.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20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0/- per share. He later receives a dividend of Rs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8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/- per share. He subsequently sells it for Rs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260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/-. What is the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H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olding</w:t>
            </w:r>
            <w:r w:rsidRPr="00D6726C">
              <w:rPr>
                <w:rFonts w:ascii="Cambria" w:hAnsi="Cambria" w:cstheme="minorHAnsi"/>
                <w:b/>
                <w:sz w:val="24"/>
                <w:szCs w:val="24"/>
              </w:rPr>
              <w:t xml:space="preserve"> Period Return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 earned by Mr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X</w:t>
            </w:r>
            <w:r w:rsidRPr="005D22D5">
              <w:rPr>
                <w:rFonts w:ascii="Cambria" w:hAnsi="Cambria" w:cstheme="minorHAnsi"/>
                <w:bCs/>
                <w:sz w:val="24"/>
                <w:szCs w:val="24"/>
              </w:rPr>
              <w:t xml:space="preserve"> on the Investment?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01BED9EF" w:rsidR="001B1AA4" w:rsidRPr="00CB5FCD" w:rsidRDefault="00FB456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a</w:t>
            </w: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0354EFFF" w:rsidR="001B1AA4" w:rsidRPr="00CB5FCD" w:rsidRDefault="001B1AA4" w:rsidP="002F093D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2F093D">
              <w:rPr>
                <w:rFonts w:ascii="Cambria" w:hAnsi="Cambria" w:cstheme="minorHAnsi"/>
                <w:bCs/>
                <w:sz w:val="24"/>
                <w:szCs w:val="24"/>
              </w:rPr>
              <w:t>Explain how you can interpret Beta of a Stock if it is 2.45; 0.75 and 1.00.</w:t>
            </w:r>
            <w:r w:rsidR="002F093D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0143980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5CC7E05A" w:rsidR="001B1AA4" w:rsidRPr="00CB5FCD" w:rsidRDefault="00FB4567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532AB49D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5A1C140E" w:rsidR="001B1AA4" w:rsidRPr="00CB5FCD" w:rsidRDefault="00DD1282" w:rsidP="00DD1282">
            <w:p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Mr Umar has created a Two Asset Portfolio with 70% of money invested in Equity Mutual Funds with an expected return of 20% and Standard Deviation of 25% and 45% of money in Debt Mutual Funds with an expected return of 15% with a Standard Deviation of 10%. If the Correlation between Equity and Debt is 0.45, calculate for Mr Ganesh both Portfolio Returns and Portfolio Risk.</w:t>
            </w: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1B1AA4"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2620A8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3394299F" w:rsidR="001B1AA4" w:rsidRPr="00CB5FCD" w:rsidRDefault="00FB4567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285FD895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DEB1" w14:textId="28190B9F" w:rsidR="005A5946" w:rsidRPr="002A439D" w:rsidRDefault="001B1AA4" w:rsidP="005A594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  <w:r w:rsidR="005A5946"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Consider a Rs. </w:t>
            </w:r>
            <w:r w:rsidR="005A5946">
              <w:rPr>
                <w:rFonts w:ascii="Cambria" w:hAnsi="Cambria" w:cstheme="minorHAnsi"/>
                <w:bCs/>
                <w:sz w:val="24"/>
                <w:szCs w:val="24"/>
              </w:rPr>
              <w:t>2</w:t>
            </w:r>
            <w:r w:rsidR="005A5946" w:rsidRPr="002A439D">
              <w:rPr>
                <w:rFonts w:ascii="Cambria" w:hAnsi="Cambria" w:cstheme="minorHAnsi"/>
                <w:bCs/>
                <w:sz w:val="24"/>
                <w:szCs w:val="24"/>
              </w:rPr>
              <w:t>000 par value bond, carrying a coupon rate of 1</w:t>
            </w:r>
            <w:r w:rsidR="005A5946">
              <w:rPr>
                <w:rFonts w:ascii="Cambria" w:hAnsi="Cambria" w:cstheme="minorHAnsi"/>
                <w:bCs/>
                <w:sz w:val="24"/>
                <w:szCs w:val="24"/>
              </w:rPr>
              <w:t>5</w:t>
            </w:r>
            <w:r w:rsidR="005A5946"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 percent, and maturing after 5 years. The bond is currently selling for RS. 1</w:t>
            </w:r>
            <w:r w:rsidR="005A5946">
              <w:rPr>
                <w:rFonts w:ascii="Cambria" w:hAnsi="Cambria" w:cstheme="minorHAnsi"/>
                <w:bCs/>
                <w:sz w:val="24"/>
                <w:szCs w:val="24"/>
              </w:rPr>
              <w:t>10</w:t>
            </w:r>
            <w:r w:rsidR="005A5946"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0. </w:t>
            </w:r>
          </w:p>
          <w:p w14:paraId="6238F62E" w14:textId="77777777" w:rsidR="005A5946" w:rsidRPr="002A439D" w:rsidRDefault="005A5946" w:rsidP="005A594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>•What is the YTM of the bond according to trial-and-error procedure?</w:t>
            </w:r>
          </w:p>
          <w:p w14:paraId="394C369D" w14:textId="012895B9" w:rsidR="001B1AA4" w:rsidRPr="00680D90" w:rsidRDefault="005A5946" w:rsidP="00680D90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>•What is the YTM of the bond according to approximation approach?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  <w:tr w:rsidR="001B1AA4" w:rsidRPr="00CB5FCD" w14:paraId="68E3BC56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FB4567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6202EC83" w:rsidR="001B1AA4" w:rsidRPr="00CB5FCD" w:rsidRDefault="00FB4567" w:rsidP="002620A8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0004950A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DC6B" w14:textId="77777777" w:rsidR="00A65A81" w:rsidRPr="00A65A81" w:rsidRDefault="003B1B17" w:rsidP="003B1B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Explain the Components of Fundamental Analysis</w:t>
            </w:r>
            <w:r w:rsidR="00A65A81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.</w:t>
            </w:r>
          </w:p>
          <w:p w14:paraId="567B715A" w14:textId="58521B6C" w:rsidR="00F642D1" w:rsidRPr="003B1B17" w:rsidRDefault="006544A4" w:rsidP="003B1B1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B1B17">
              <w:rPr>
                <w:rFonts w:ascii="Cambria" w:hAnsi="Cambria" w:cstheme="minorHAnsi"/>
                <w:color w:val="000000"/>
                <w:sz w:val="24"/>
                <w:szCs w:val="24"/>
                <w:lang w:eastAsia="en-IN"/>
              </w:rPr>
              <w:t>Differentiate between Technical Analysis and Fundamental Analysis.</w:t>
            </w:r>
          </w:p>
          <w:p w14:paraId="56B1A5F8" w14:textId="284124B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B1AA4" w:rsidRPr="00CB5FCD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07D80B69" w:rsidR="001B1AA4" w:rsidRDefault="00FB4567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09D1A5CF" w:rsidR="001B1AA4" w:rsidRPr="00B42E26" w:rsidRDefault="00B42E26" w:rsidP="00F814FE">
            <w:pPr>
              <w:spacing w:after="0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42E26">
              <w:rPr>
                <w:rFonts w:ascii="Cambria" w:hAnsi="Cambria" w:cstheme="minorHAnsi"/>
                <w:bCs/>
                <w:sz w:val="24"/>
                <w:szCs w:val="24"/>
              </w:rPr>
              <w:t>(a</w:t>
            </w:r>
            <w:bookmarkStart w:id="0" w:name="_GoBack"/>
            <w:r w:rsidRPr="00B42E26">
              <w:rPr>
                <w:rFonts w:ascii="Cambria" w:hAnsi="Cambria" w:cstheme="minorHAnsi"/>
                <w:bCs/>
                <w:sz w:val="24"/>
                <w:szCs w:val="24"/>
              </w:rPr>
              <w:t>) Define Jensen’s Measure and explain its formula in detail, including the significance of its components.</w:t>
            </w:r>
            <w:r w:rsidRPr="00B42E26">
              <w:rPr>
                <w:rFonts w:ascii="Cambria" w:hAnsi="Cambria" w:cstheme="minorHAnsi"/>
                <w:bCs/>
                <w:sz w:val="24"/>
                <w:szCs w:val="24"/>
              </w:rPr>
              <w:br/>
              <w:t xml:space="preserve">(b) Discuss how Jensen’s Measure can be used to evaluate the skill </w:t>
            </w:r>
            <w:bookmarkEnd w:id="0"/>
            <w:r w:rsidRPr="00B42E26">
              <w:rPr>
                <w:rFonts w:ascii="Cambria" w:hAnsi="Cambria" w:cstheme="minorHAnsi"/>
                <w:bCs/>
                <w:sz w:val="24"/>
                <w:szCs w:val="24"/>
              </w:rPr>
              <w:lastRenderedPageBreak/>
              <w:t>of a portfolio manager in generating excess returns.</w:t>
            </w:r>
            <w:r w:rsidRPr="00B42E26">
              <w:rPr>
                <w:rFonts w:ascii="Cambria" w:hAnsi="Cambria" w:cstheme="minorHAnsi"/>
                <w:bCs/>
                <w:sz w:val="24"/>
                <w:szCs w:val="24"/>
              </w:rPr>
              <w:br/>
              <w:t>(c) A portfolio has an actual return of 15%, a beta of 1.1, a risk-free rate of 4%, and the market return is 12%. Calculate the Jensen’s Alpha for this portfolio and interpret the result.</w:t>
            </w:r>
            <w:r w:rsidRPr="00B42E26">
              <w:rPr>
                <w:rFonts w:ascii="Cambria" w:hAnsi="Cambria" w:cstheme="minorHAnsi"/>
                <w:bCs/>
                <w:sz w:val="24"/>
                <w:szCs w:val="24"/>
              </w:rPr>
              <w:br/>
              <w:t>(d) Critically assess the limitations of Jensen’s Measure in evaluating portfolio performance.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D0B48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2F245CA7" w:rsidR="008D0B48" w:rsidRDefault="00FB4567" w:rsidP="008D0B4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401" w:type="pct"/>
            <w:vAlign w:val="center"/>
          </w:tcPr>
          <w:tbl>
            <w:tblPr>
              <w:tblStyle w:val="TableGrid"/>
              <w:tblpPr w:leftFromText="180" w:rightFromText="180" w:vertAnchor="text" w:horzAnchor="margin" w:tblpY="-24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296"/>
              <w:gridCol w:w="2296"/>
              <w:gridCol w:w="2296"/>
            </w:tblGrid>
            <w:tr w:rsidR="000D4CA9" w:rsidRPr="00AB2D1D" w14:paraId="2A7B9721" w14:textId="77777777" w:rsidTr="002C2686">
              <w:tc>
                <w:tcPr>
                  <w:tcW w:w="2296" w:type="dxa"/>
                </w:tcPr>
                <w:p w14:paraId="4B5D3F13" w14:textId="77777777" w:rsidR="000D4CA9" w:rsidRPr="00AB2D1D" w:rsidRDefault="000D4CA9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</w:p>
              </w:tc>
              <w:tc>
                <w:tcPr>
                  <w:tcW w:w="2296" w:type="dxa"/>
                </w:tcPr>
                <w:p w14:paraId="53498ABA" w14:textId="77777777" w:rsidR="000D4CA9" w:rsidRPr="00AB2D1D" w:rsidRDefault="000D4CA9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AB2D1D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Stock 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A</w:t>
                  </w:r>
                  <w:r w:rsidRPr="00AB2D1D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 </w:t>
                  </w:r>
                </w:p>
              </w:tc>
              <w:tc>
                <w:tcPr>
                  <w:tcW w:w="2296" w:type="dxa"/>
                </w:tcPr>
                <w:p w14:paraId="475BDEB5" w14:textId="77777777" w:rsidR="000D4CA9" w:rsidRPr="00AB2D1D" w:rsidRDefault="000D4CA9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 w:rsidRPr="00AB2D1D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Stock 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B</w:t>
                  </w:r>
                  <w:r w:rsidRPr="00AB2D1D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 xml:space="preserve"> </w:t>
                  </w:r>
                </w:p>
              </w:tc>
            </w:tr>
            <w:tr w:rsidR="000D4CA9" w:rsidRPr="00AB2D1D" w14:paraId="1E78B119" w14:textId="77777777" w:rsidTr="002C2686">
              <w:tc>
                <w:tcPr>
                  <w:tcW w:w="2296" w:type="dxa"/>
                </w:tcPr>
                <w:p w14:paraId="62618A81" w14:textId="77777777" w:rsidR="000D4CA9" w:rsidRPr="00AB2D1D" w:rsidRDefault="000D4CA9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Returns %</w:t>
                  </w:r>
                </w:p>
              </w:tc>
              <w:tc>
                <w:tcPr>
                  <w:tcW w:w="2296" w:type="dxa"/>
                </w:tcPr>
                <w:p w14:paraId="530B5592" w14:textId="4CD91370" w:rsidR="000D4CA9" w:rsidRPr="00AB2D1D" w:rsidRDefault="006573E0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3</w:t>
                  </w:r>
                  <w:r w:rsidR="000D4CA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7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%</w:t>
                  </w:r>
                </w:p>
              </w:tc>
              <w:tc>
                <w:tcPr>
                  <w:tcW w:w="2296" w:type="dxa"/>
                </w:tcPr>
                <w:p w14:paraId="74DEB2A7" w14:textId="3ECB852E" w:rsidR="000D4CA9" w:rsidRPr="00AB2D1D" w:rsidRDefault="006573E0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2</w:t>
                  </w:r>
                  <w:r w:rsidR="000D4CA9"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9</w:t>
                  </w: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%</w:t>
                  </w:r>
                </w:p>
              </w:tc>
            </w:tr>
            <w:tr w:rsidR="000D4CA9" w:rsidRPr="00AB2D1D" w14:paraId="1DE19459" w14:textId="77777777" w:rsidTr="002C2686">
              <w:tc>
                <w:tcPr>
                  <w:tcW w:w="2296" w:type="dxa"/>
                </w:tcPr>
                <w:p w14:paraId="172ECC73" w14:textId="77777777" w:rsidR="000D4CA9" w:rsidRPr="00AB2D1D" w:rsidRDefault="000D4CA9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Risk %</w:t>
                  </w:r>
                </w:p>
              </w:tc>
              <w:tc>
                <w:tcPr>
                  <w:tcW w:w="2296" w:type="dxa"/>
                </w:tcPr>
                <w:p w14:paraId="79660C60" w14:textId="77777777" w:rsidR="000D4CA9" w:rsidRDefault="000D4CA9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15%</w:t>
                  </w:r>
                </w:p>
              </w:tc>
              <w:tc>
                <w:tcPr>
                  <w:tcW w:w="2296" w:type="dxa"/>
                </w:tcPr>
                <w:p w14:paraId="5AF5AC58" w14:textId="77777777" w:rsidR="000D4CA9" w:rsidRDefault="000D4CA9" w:rsidP="000D4CA9">
                  <w:pPr>
                    <w:spacing w:after="0"/>
                    <w:jc w:val="both"/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</w:pPr>
                  <w:r>
                    <w:rPr>
                      <w:rFonts w:ascii="Cambria" w:hAnsi="Cambria" w:cstheme="minorHAnsi"/>
                      <w:bCs/>
                      <w:sz w:val="24"/>
                      <w:szCs w:val="24"/>
                      <w:lang w:val="en-IN"/>
                    </w:rPr>
                    <w:t>8%</w:t>
                  </w:r>
                </w:p>
              </w:tc>
            </w:tr>
          </w:tbl>
          <w:p w14:paraId="7204CEC7" w14:textId="77777777" w:rsidR="000D4CA9" w:rsidRPr="00AB2D1D" w:rsidRDefault="000D4CA9" w:rsidP="006573E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AB2D1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What is the expected return on portfolio made up of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7</w:t>
            </w:r>
            <w:r w:rsidRPr="00AB2D1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0% of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</w:t>
            </w:r>
            <w:r w:rsidRPr="00AB2D1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and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3</w:t>
            </w:r>
            <w:r w:rsidRPr="00AB2D1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0% of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</w:t>
            </w:r>
            <w:r w:rsidRPr="00AB2D1D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.</w:t>
            </w:r>
          </w:p>
          <w:p w14:paraId="74E80F8D" w14:textId="3D7DAE31" w:rsidR="008D0B48" w:rsidRPr="006573E0" w:rsidRDefault="000D4CA9" w:rsidP="006573E0">
            <w:pPr>
              <w:pStyle w:val="ListParagraph"/>
              <w:numPr>
                <w:ilvl w:val="0"/>
                <w:numId w:val="16"/>
              </w:num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6573E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What is the standard deviation of the Portfolio AB, if correlation between Stock A and B is 0.40?</w:t>
            </w:r>
          </w:p>
        </w:tc>
        <w:tc>
          <w:tcPr>
            <w:tcW w:w="490" w:type="pct"/>
            <w:vAlign w:val="center"/>
          </w:tcPr>
          <w:p w14:paraId="05A99BD9" w14:textId="77777777" w:rsidR="008D0B48" w:rsidRDefault="008D0B48" w:rsidP="008D0B4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8D0B48" w:rsidRDefault="008D0B48" w:rsidP="008D0B4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77777777" w:rsidR="008D0B48" w:rsidRDefault="008D0B48" w:rsidP="008D0B4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EB4DDF" w14:paraId="709BA77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0D6A40B3" w14:textId="2DDB3AAD" w:rsidR="00EB4DDF" w:rsidRDefault="00FB4567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0B9A70E6" w14:textId="248FEB26" w:rsidR="00150894" w:rsidRDefault="00991285" w:rsidP="00991285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Mr Gugan</w:t>
            </w: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 has bought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shares from ABC</w:t>
            </w: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 consultancy that has paid Rs </w:t>
            </w:r>
            <w:r w:rsidR="00F510DA"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 as dividend per share during the last financial year. He anticipates two situations </w:t>
            </w:r>
          </w:p>
          <w:p w14:paraId="02A21791" w14:textId="76990BF2" w:rsidR="00991285" w:rsidRDefault="00991285" w:rsidP="00991285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>a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)</w:t>
            </w: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F510DA"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 xml:space="preserve">% decline in the dividend or </w:t>
            </w:r>
          </w:p>
          <w:p w14:paraId="1F6ED272" w14:textId="1AFEB72B" w:rsidR="00991285" w:rsidRPr="002A439D" w:rsidRDefault="00991285" w:rsidP="00991285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b) </w:t>
            </w:r>
            <w:r w:rsidR="00F510DA">
              <w:rPr>
                <w:rFonts w:ascii="Cambria" w:hAnsi="Cambria" w:cstheme="minorHAnsi"/>
                <w:bCs/>
                <w:sz w:val="24"/>
                <w:szCs w:val="24"/>
              </w:rPr>
              <w:t>7</w:t>
            </w:r>
            <w:r w:rsidRPr="002A439D">
              <w:rPr>
                <w:rFonts w:ascii="Cambria" w:hAnsi="Cambria" w:cstheme="minorHAnsi"/>
                <w:bCs/>
                <w:sz w:val="24"/>
                <w:szCs w:val="24"/>
              </w:rPr>
              <w:t>% growth in the dividend in the next year. His anticipated return is 20%.</w:t>
            </w:r>
          </w:p>
          <w:p w14:paraId="4040D843" w14:textId="798C1ECD" w:rsidR="00EB4DDF" w:rsidRPr="00EB4DDF" w:rsidRDefault="00991285" w:rsidP="00991285">
            <w:pPr>
              <w:pStyle w:val="ListParagraph"/>
              <w:numPr>
                <w:ilvl w:val="0"/>
                <w:numId w:val="12"/>
              </w:num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963E4">
              <w:rPr>
                <w:rFonts w:ascii="Cambria" w:hAnsi="Cambria" w:cstheme="minorHAnsi"/>
                <w:bCs/>
                <w:sz w:val="24"/>
                <w:szCs w:val="24"/>
              </w:rPr>
              <w:t>F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ind the value</w:t>
            </w:r>
            <w:r w:rsidRPr="004963E4">
              <w:rPr>
                <w:rFonts w:ascii="Cambria" w:hAnsi="Cambria" w:cstheme="minorHAnsi"/>
                <w:bCs/>
                <w:sz w:val="24"/>
                <w:szCs w:val="24"/>
              </w:rPr>
              <w:t xml:space="preserve"> for both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a) &amp; b) </w:t>
            </w:r>
            <w:r w:rsidRPr="004963E4">
              <w:rPr>
                <w:rFonts w:ascii="Cambria" w:hAnsi="Cambria" w:cstheme="minorHAnsi"/>
                <w:bCs/>
                <w:sz w:val="24"/>
                <w:szCs w:val="24"/>
              </w:rPr>
              <w:t>situations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mentioned above</w:t>
            </w:r>
            <w:r w:rsidRPr="004963E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12B555E3" w14:textId="77777777" w:rsidR="00EB4DDF" w:rsidRDefault="00EB4DDF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EB4DDF" w:rsidRDefault="00EB4DDF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7777777" w:rsidR="00EB4DDF" w:rsidRDefault="00EB4DDF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EB4DDF" w14:paraId="74F03A5A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1E746742" w14:textId="63F37557" w:rsidR="00EB4DDF" w:rsidRDefault="00FB4567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32B74A7" w14:textId="48F54A63" w:rsidR="00046B4A" w:rsidRPr="00046B4A" w:rsidRDefault="0051165B" w:rsidP="00046B4A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FC55B8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Case 1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: </w:t>
            </w:r>
            <w:r w:rsidR="00046B4A"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 corporate bond has the following details:</w:t>
            </w:r>
          </w:p>
          <w:p w14:paraId="65271F54" w14:textId="77777777" w:rsidR="00046B4A" w:rsidRPr="00046B4A" w:rsidRDefault="00046B4A" w:rsidP="00046B4A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Face value: ₹1,000</w:t>
            </w:r>
          </w:p>
          <w:p w14:paraId="28E9D2AD" w14:textId="3F6EFDBA" w:rsidR="00046B4A" w:rsidRPr="00046B4A" w:rsidRDefault="00046B4A" w:rsidP="00046B4A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Annual coupon rate: </w:t>
            </w:r>
            <w:r w:rsidR="0015089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9</w:t>
            </w: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% (paid annually)</w:t>
            </w:r>
          </w:p>
          <w:p w14:paraId="2D4405AC" w14:textId="3B65863C" w:rsidR="00046B4A" w:rsidRPr="00046B4A" w:rsidRDefault="00046B4A" w:rsidP="00046B4A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Remaining maturity: </w:t>
            </w:r>
            <w:r w:rsidR="0015089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6</w:t>
            </w: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years</w:t>
            </w:r>
          </w:p>
          <w:p w14:paraId="259A749F" w14:textId="6E3F41B8" w:rsidR="00046B4A" w:rsidRPr="00046B4A" w:rsidRDefault="00046B4A" w:rsidP="00046B4A">
            <w:pPr>
              <w:numPr>
                <w:ilvl w:val="0"/>
                <w:numId w:val="13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Current market price: ₹</w:t>
            </w:r>
            <w:r w:rsidR="0015089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8</w:t>
            </w: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50</w:t>
            </w:r>
          </w:p>
          <w:p w14:paraId="3178C923" w14:textId="1951E7FB" w:rsidR="00046B4A" w:rsidRDefault="00046B4A" w:rsidP="00150894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(a) </w:t>
            </w:r>
            <w:r w:rsidR="0015089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Calculate</w:t>
            </w: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Yield to Maturity (YTM) and explain its significance in</w:t>
            </w:r>
            <w:r w:rsidR="00973F29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coupon</w:t>
            </w: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bond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046B4A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valuation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. </w:t>
            </w:r>
          </w:p>
          <w:p w14:paraId="605F2248" w14:textId="12B902E3" w:rsidR="002B1836" w:rsidRPr="002B1836" w:rsidRDefault="0051165B" w:rsidP="002B183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FC55B8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Case 2: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 w:rsidR="002B1836"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 zero-coupon bond has the following details:</w:t>
            </w:r>
          </w:p>
          <w:p w14:paraId="3CB31B25" w14:textId="77777777" w:rsidR="002B1836" w:rsidRPr="002B1836" w:rsidRDefault="002B1836" w:rsidP="002B183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Face value: ₹1,000</w:t>
            </w:r>
          </w:p>
          <w:p w14:paraId="3E251F00" w14:textId="77777777" w:rsidR="002B1836" w:rsidRPr="002B1836" w:rsidRDefault="002B1836" w:rsidP="002B183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Remaining maturity: 6 years</w:t>
            </w:r>
          </w:p>
          <w:p w14:paraId="0574279E" w14:textId="4D29E6D9" w:rsidR="0051165B" w:rsidRPr="00D50CA4" w:rsidRDefault="002B1836" w:rsidP="002B1836">
            <w:pPr>
              <w:numPr>
                <w:ilvl w:val="0"/>
                <w:numId w:val="14"/>
              </w:num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Current market price: ₹700</w:t>
            </w:r>
          </w:p>
          <w:p w14:paraId="71D3E5E5" w14:textId="5800F4DC" w:rsidR="0051165B" w:rsidRDefault="002B1836" w:rsidP="002B183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(</w:t>
            </w:r>
            <w:r w:rsidR="00D50CA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b</w:t>
            </w: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) Calculate the YTM for this bond using the</w:t>
            </w:r>
            <w:r w:rsidR="000E4E60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above</w:t>
            </w: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given data. Show all steps</w:t>
            </w:r>
            <w:r w:rsidR="0051165B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</w:t>
            </w: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clearly.</w:t>
            </w:r>
          </w:p>
          <w:p w14:paraId="2C3E4875" w14:textId="20AD0C08" w:rsidR="002B1836" w:rsidRPr="002B1836" w:rsidRDefault="002B1836" w:rsidP="002B1836">
            <w:pPr>
              <w:spacing w:after="0"/>
              <w:jc w:val="both"/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(</w:t>
            </w:r>
            <w:r w:rsidR="00D50CA4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</w:t>
            </w:r>
            <w:r w:rsidRPr="002B1836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) Discuss how the YTM of a zero-coupon bond differs from that of a coupon bond in terms of interest rate risk and reinvestment risk.</w:t>
            </w:r>
          </w:p>
          <w:p w14:paraId="01723B19" w14:textId="2AE5DD60" w:rsidR="004163A4" w:rsidRPr="00FC55B8" w:rsidRDefault="00FC55B8" w:rsidP="00046B4A">
            <w:pPr>
              <w:spacing w:after="0"/>
              <w:jc w:val="both"/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</w:pPr>
            <w:r w:rsidRPr="00FC55B8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 xml:space="preserve">Note: Both Cases Neet to </w:t>
            </w:r>
            <w:r w:rsidR="00D446D4">
              <w:rPr>
                <w:rFonts w:ascii="Cambria" w:hAnsi="Cambria" w:cstheme="minorHAnsi"/>
                <w:b/>
                <w:sz w:val="24"/>
                <w:szCs w:val="24"/>
                <w:lang w:val="en-IN"/>
              </w:rPr>
              <w:t>attend</w:t>
            </w:r>
          </w:p>
          <w:p w14:paraId="72AA1F86" w14:textId="77777777" w:rsidR="00EB4DDF" w:rsidRDefault="00EB4DDF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3883BA3" w14:textId="77777777" w:rsidR="00EB4DDF" w:rsidRDefault="00EB4DDF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EB4DDF" w:rsidRDefault="00EB4DDF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77777777" w:rsidR="00EB4DDF" w:rsidRDefault="00EB4DDF" w:rsidP="00EB4DDF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0921E2" w14:textId="77777777" w:rsidR="005C26B3" w:rsidRDefault="005C26B3">
      <w:pPr>
        <w:spacing w:line="240" w:lineRule="auto"/>
      </w:pPr>
      <w:r>
        <w:separator/>
      </w:r>
    </w:p>
  </w:endnote>
  <w:endnote w:type="continuationSeparator" w:id="0">
    <w:p w14:paraId="225A248E" w14:textId="77777777" w:rsidR="005C26B3" w:rsidRDefault="005C26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E04A8" w14:textId="77777777" w:rsidR="005C26B3" w:rsidRDefault="005C26B3">
      <w:pPr>
        <w:spacing w:after="0"/>
      </w:pPr>
      <w:r>
        <w:separator/>
      </w:r>
    </w:p>
  </w:footnote>
  <w:footnote w:type="continuationSeparator" w:id="0">
    <w:p w14:paraId="1296E0A6" w14:textId="77777777" w:rsidR="005C26B3" w:rsidRDefault="005C26B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8385E"/>
    <w:multiLevelType w:val="hybridMultilevel"/>
    <w:tmpl w:val="40CE8AE2"/>
    <w:lvl w:ilvl="0" w:tplc="8FCABC24">
      <w:start w:val="1"/>
      <w:numFmt w:val="lowerLetter"/>
      <w:lvlText w:val="%1)"/>
      <w:lvlJc w:val="left"/>
      <w:pPr>
        <w:ind w:left="408" w:hanging="360"/>
      </w:pPr>
      <w:rPr>
        <w:rFonts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128" w:hanging="360"/>
      </w:pPr>
    </w:lvl>
    <w:lvl w:ilvl="2" w:tplc="4009001B" w:tentative="1">
      <w:start w:val="1"/>
      <w:numFmt w:val="lowerRoman"/>
      <w:lvlText w:val="%3."/>
      <w:lvlJc w:val="right"/>
      <w:pPr>
        <w:ind w:left="1848" w:hanging="180"/>
      </w:pPr>
    </w:lvl>
    <w:lvl w:ilvl="3" w:tplc="4009000F" w:tentative="1">
      <w:start w:val="1"/>
      <w:numFmt w:val="decimal"/>
      <w:lvlText w:val="%4."/>
      <w:lvlJc w:val="left"/>
      <w:pPr>
        <w:ind w:left="2568" w:hanging="360"/>
      </w:pPr>
    </w:lvl>
    <w:lvl w:ilvl="4" w:tplc="40090019" w:tentative="1">
      <w:start w:val="1"/>
      <w:numFmt w:val="lowerLetter"/>
      <w:lvlText w:val="%5."/>
      <w:lvlJc w:val="left"/>
      <w:pPr>
        <w:ind w:left="3288" w:hanging="360"/>
      </w:pPr>
    </w:lvl>
    <w:lvl w:ilvl="5" w:tplc="4009001B" w:tentative="1">
      <w:start w:val="1"/>
      <w:numFmt w:val="lowerRoman"/>
      <w:lvlText w:val="%6."/>
      <w:lvlJc w:val="right"/>
      <w:pPr>
        <w:ind w:left="4008" w:hanging="180"/>
      </w:pPr>
    </w:lvl>
    <w:lvl w:ilvl="6" w:tplc="4009000F" w:tentative="1">
      <w:start w:val="1"/>
      <w:numFmt w:val="decimal"/>
      <w:lvlText w:val="%7."/>
      <w:lvlJc w:val="left"/>
      <w:pPr>
        <w:ind w:left="4728" w:hanging="360"/>
      </w:pPr>
    </w:lvl>
    <w:lvl w:ilvl="7" w:tplc="40090019" w:tentative="1">
      <w:start w:val="1"/>
      <w:numFmt w:val="lowerLetter"/>
      <w:lvlText w:val="%8."/>
      <w:lvlJc w:val="left"/>
      <w:pPr>
        <w:ind w:left="5448" w:hanging="360"/>
      </w:pPr>
    </w:lvl>
    <w:lvl w:ilvl="8" w:tplc="40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>
    <w:nsid w:val="0CBF2C8B"/>
    <w:multiLevelType w:val="hybridMultilevel"/>
    <w:tmpl w:val="39A863E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4CEC"/>
    <w:multiLevelType w:val="multilevel"/>
    <w:tmpl w:val="A024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0170AC"/>
    <w:multiLevelType w:val="multilevel"/>
    <w:tmpl w:val="69DC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4B6D7F"/>
    <w:multiLevelType w:val="hybridMultilevel"/>
    <w:tmpl w:val="D19E17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7E123CA"/>
    <w:multiLevelType w:val="hybridMultilevel"/>
    <w:tmpl w:val="0A06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4A1D32"/>
    <w:multiLevelType w:val="hybridMultilevel"/>
    <w:tmpl w:val="8108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6142F34"/>
    <w:multiLevelType w:val="hybridMultilevel"/>
    <w:tmpl w:val="538C92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1">
    <w:nsid w:val="55EE446C"/>
    <w:multiLevelType w:val="hybridMultilevel"/>
    <w:tmpl w:val="0A06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769F4"/>
    <w:multiLevelType w:val="hybridMultilevel"/>
    <w:tmpl w:val="FB0E00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6243D"/>
    <w:multiLevelType w:val="hybridMultilevel"/>
    <w:tmpl w:val="0A06F4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D42B22"/>
    <w:multiLevelType w:val="hybridMultilevel"/>
    <w:tmpl w:val="0A06F4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>
      <w:startOverride w:val="1"/>
    </w:lvlOverride>
  </w:num>
  <w:num w:numId="2">
    <w:abstractNumId w:val="8"/>
  </w:num>
  <w:num w:numId="3">
    <w:abstractNumId w:val="16"/>
  </w:num>
  <w:num w:numId="4">
    <w:abstractNumId w:val="13"/>
  </w:num>
  <w:num w:numId="5">
    <w:abstractNumId w:val="5"/>
  </w:num>
  <w:num w:numId="6">
    <w:abstractNumId w:val="14"/>
  </w:num>
  <w:num w:numId="7">
    <w:abstractNumId w:val="6"/>
  </w:num>
  <w:num w:numId="8">
    <w:abstractNumId w:val="11"/>
  </w:num>
  <w:num w:numId="9">
    <w:abstractNumId w:val="15"/>
  </w:num>
  <w:num w:numId="10">
    <w:abstractNumId w:val="7"/>
  </w:num>
  <w:num w:numId="11">
    <w:abstractNumId w:val="4"/>
  </w:num>
  <w:num w:numId="12">
    <w:abstractNumId w:val="12"/>
  </w:num>
  <w:num w:numId="13">
    <w:abstractNumId w:val="2"/>
  </w:num>
  <w:num w:numId="14">
    <w:abstractNumId w:val="3"/>
  </w:num>
  <w:num w:numId="15">
    <w:abstractNumId w:val="1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0B0D"/>
    <w:rsid w:val="0002657D"/>
    <w:rsid w:val="00030CF0"/>
    <w:rsid w:val="00033373"/>
    <w:rsid w:val="00034BCB"/>
    <w:rsid w:val="000358D4"/>
    <w:rsid w:val="00040B79"/>
    <w:rsid w:val="00044CE0"/>
    <w:rsid w:val="00046B4A"/>
    <w:rsid w:val="000503AF"/>
    <w:rsid w:val="00050D08"/>
    <w:rsid w:val="000524BC"/>
    <w:rsid w:val="0005250D"/>
    <w:rsid w:val="00053EB1"/>
    <w:rsid w:val="00056855"/>
    <w:rsid w:val="000648F2"/>
    <w:rsid w:val="00065201"/>
    <w:rsid w:val="00066EDC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570A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B60CC"/>
    <w:rsid w:val="000C4F50"/>
    <w:rsid w:val="000C6B2D"/>
    <w:rsid w:val="000D0AAB"/>
    <w:rsid w:val="000D425C"/>
    <w:rsid w:val="000D4CA9"/>
    <w:rsid w:val="000D6ACB"/>
    <w:rsid w:val="000E38A4"/>
    <w:rsid w:val="000E4E60"/>
    <w:rsid w:val="000E5994"/>
    <w:rsid w:val="0010143B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019"/>
    <w:rsid w:val="00143FDC"/>
    <w:rsid w:val="00146929"/>
    <w:rsid w:val="001479CA"/>
    <w:rsid w:val="00150631"/>
    <w:rsid w:val="00150894"/>
    <w:rsid w:val="001512AB"/>
    <w:rsid w:val="00153139"/>
    <w:rsid w:val="001539B8"/>
    <w:rsid w:val="00154007"/>
    <w:rsid w:val="001551F7"/>
    <w:rsid w:val="00155529"/>
    <w:rsid w:val="00155797"/>
    <w:rsid w:val="00161A5E"/>
    <w:rsid w:val="00162063"/>
    <w:rsid w:val="00162C93"/>
    <w:rsid w:val="00171DF6"/>
    <w:rsid w:val="00174926"/>
    <w:rsid w:val="00177DCC"/>
    <w:rsid w:val="00181331"/>
    <w:rsid w:val="00182CC4"/>
    <w:rsid w:val="00184C04"/>
    <w:rsid w:val="001877EF"/>
    <w:rsid w:val="001905BF"/>
    <w:rsid w:val="00191B3A"/>
    <w:rsid w:val="0019389E"/>
    <w:rsid w:val="00194CBC"/>
    <w:rsid w:val="001A02C2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0B6A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3759D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970F7"/>
    <w:rsid w:val="002A5C66"/>
    <w:rsid w:val="002B183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093D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270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1B17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2EF9"/>
    <w:rsid w:val="004039C7"/>
    <w:rsid w:val="00407E0E"/>
    <w:rsid w:val="004127EC"/>
    <w:rsid w:val="00413238"/>
    <w:rsid w:val="00414BA7"/>
    <w:rsid w:val="00416196"/>
    <w:rsid w:val="004163A4"/>
    <w:rsid w:val="004176C7"/>
    <w:rsid w:val="004247E2"/>
    <w:rsid w:val="004249B3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6542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0928"/>
    <w:rsid w:val="004D1DE8"/>
    <w:rsid w:val="004D6A49"/>
    <w:rsid w:val="004E04BB"/>
    <w:rsid w:val="004E281A"/>
    <w:rsid w:val="004E51A7"/>
    <w:rsid w:val="004F4203"/>
    <w:rsid w:val="004F4DA9"/>
    <w:rsid w:val="00506377"/>
    <w:rsid w:val="0051099D"/>
    <w:rsid w:val="0051165B"/>
    <w:rsid w:val="00512CB6"/>
    <w:rsid w:val="00513CAD"/>
    <w:rsid w:val="00517AA1"/>
    <w:rsid w:val="005210ED"/>
    <w:rsid w:val="00526BBF"/>
    <w:rsid w:val="00532028"/>
    <w:rsid w:val="005327BB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984"/>
    <w:rsid w:val="005A3E77"/>
    <w:rsid w:val="005A5946"/>
    <w:rsid w:val="005A6347"/>
    <w:rsid w:val="005A64A2"/>
    <w:rsid w:val="005B0F36"/>
    <w:rsid w:val="005B4510"/>
    <w:rsid w:val="005B5111"/>
    <w:rsid w:val="005B6500"/>
    <w:rsid w:val="005C26B3"/>
    <w:rsid w:val="005C6DAE"/>
    <w:rsid w:val="005D4018"/>
    <w:rsid w:val="005D5817"/>
    <w:rsid w:val="005D5B46"/>
    <w:rsid w:val="005E0F29"/>
    <w:rsid w:val="005E161C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660"/>
    <w:rsid w:val="00643D36"/>
    <w:rsid w:val="006443B0"/>
    <w:rsid w:val="0064503F"/>
    <w:rsid w:val="006473D5"/>
    <w:rsid w:val="00647454"/>
    <w:rsid w:val="00652E20"/>
    <w:rsid w:val="0065359A"/>
    <w:rsid w:val="00654228"/>
    <w:rsid w:val="006544A4"/>
    <w:rsid w:val="006573E0"/>
    <w:rsid w:val="0066663D"/>
    <w:rsid w:val="0067033C"/>
    <w:rsid w:val="00672DD8"/>
    <w:rsid w:val="00676911"/>
    <w:rsid w:val="00680D90"/>
    <w:rsid w:val="00680EB8"/>
    <w:rsid w:val="006828FF"/>
    <w:rsid w:val="00682CEB"/>
    <w:rsid w:val="0068462D"/>
    <w:rsid w:val="006848E9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E4BA2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79FD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468A"/>
    <w:rsid w:val="007A617C"/>
    <w:rsid w:val="007A7F7D"/>
    <w:rsid w:val="007B100B"/>
    <w:rsid w:val="007B21B6"/>
    <w:rsid w:val="007B34C2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26106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5376"/>
    <w:rsid w:val="008B60CE"/>
    <w:rsid w:val="008B6196"/>
    <w:rsid w:val="008B67FB"/>
    <w:rsid w:val="008C1E6C"/>
    <w:rsid w:val="008D0184"/>
    <w:rsid w:val="008D0B48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0578C"/>
    <w:rsid w:val="00913DEC"/>
    <w:rsid w:val="009150FD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3F29"/>
    <w:rsid w:val="00977F04"/>
    <w:rsid w:val="009845BA"/>
    <w:rsid w:val="00986FD6"/>
    <w:rsid w:val="00990C88"/>
    <w:rsid w:val="009911B3"/>
    <w:rsid w:val="00991285"/>
    <w:rsid w:val="009948D5"/>
    <w:rsid w:val="009970A3"/>
    <w:rsid w:val="009A0604"/>
    <w:rsid w:val="009A0D8D"/>
    <w:rsid w:val="009A1B83"/>
    <w:rsid w:val="009A2D73"/>
    <w:rsid w:val="009A3DFA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2615"/>
    <w:rsid w:val="009E30DC"/>
    <w:rsid w:val="009E5CFD"/>
    <w:rsid w:val="009F1CC3"/>
    <w:rsid w:val="009F22C9"/>
    <w:rsid w:val="009F3A1A"/>
    <w:rsid w:val="009F4F22"/>
    <w:rsid w:val="009F51FE"/>
    <w:rsid w:val="009F55BB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5A81"/>
    <w:rsid w:val="00A6661A"/>
    <w:rsid w:val="00A701DD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0CB8"/>
    <w:rsid w:val="00B41E27"/>
    <w:rsid w:val="00B4209E"/>
    <w:rsid w:val="00B42E26"/>
    <w:rsid w:val="00B430BC"/>
    <w:rsid w:val="00B44707"/>
    <w:rsid w:val="00B5049A"/>
    <w:rsid w:val="00B51171"/>
    <w:rsid w:val="00B51886"/>
    <w:rsid w:val="00B5479D"/>
    <w:rsid w:val="00B54AE4"/>
    <w:rsid w:val="00B576B6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26F4"/>
    <w:rsid w:val="00BC480B"/>
    <w:rsid w:val="00BC5EB2"/>
    <w:rsid w:val="00BC621A"/>
    <w:rsid w:val="00BC6A16"/>
    <w:rsid w:val="00BC7011"/>
    <w:rsid w:val="00BD4E15"/>
    <w:rsid w:val="00BD5B1D"/>
    <w:rsid w:val="00BD7EFA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2C4E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2BE6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4058"/>
    <w:rsid w:val="00D279C2"/>
    <w:rsid w:val="00D307C6"/>
    <w:rsid w:val="00D328AC"/>
    <w:rsid w:val="00D34B6D"/>
    <w:rsid w:val="00D35452"/>
    <w:rsid w:val="00D37A46"/>
    <w:rsid w:val="00D405F7"/>
    <w:rsid w:val="00D43AF2"/>
    <w:rsid w:val="00D446D4"/>
    <w:rsid w:val="00D458AC"/>
    <w:rsid w:val="00D47CF2"/>
    <w:rsid w:val="00D50CA4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82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6676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4DDF"/>
    <w:rsid w:val="00EB75DE"/>
    <w:rsid w:val="00EC4FB2"/>
    <w:rsid w:val="00EC7222"/>
    <w:rsid w:val="00EC7411"/>
    <w:rsid w:val="00ED02C3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2018"/>
    <w:rsid w:val="00F33E3E"/>
    <w:rsid w:val="00F37BCA"/>
    <w:rsid w:val="00F40192"/>
    <w:rsid w:val="00F413F0"/>
    <w:rsid w:val="00F423C8"/>
    <w:rsid w:val="00F4305B"/>
    <w:rsid w:val="00F4322F"/>
    <w:rsid w:val="00F45872"/>
    <w:rsid w:val="00F510DA"/>
    <w:rsid w:val="00F5273B"/>
    <w:rsid w:val="00F55C35"/>
    <w:rsid w:val="00F56E60"/>
    <w:rsid w:val="00F57C51"/>
    <w:rsid w:val="00F642D1"/>
    <w:rsid w:val="00F66EE9"/>
    <w:rsid w:val="00F67B91"/>
    <w:rsid w:val="00F70492"/>
    <w:rsid w:val="00F70E94"/>
    <w:rsid w:val="00F70F60"/>
    <w:rsid w:val="00F71B3D"/>
    <w:rsid w:val="00F734F8"/>
    <w:rsid w:val="00F814FE"/>
    <w:rsid w:val="00F838D8"/>
    <w:rsid w:val="00F85919"/>
    <w:rsid w:val="00F87A54"/>
    <w:rsid w:val="00F92BC9"/>
    <w:rsid w:val="00F95A23"/>
    <w:rsid w:val="00F976D1"/>
    <w:rsid w:val="00FA0643"/>
    <w:rsid w:val="00FA0EE8"/>
    <w:rsid w:val="00FA32AF"/>
    <w:rsid w:val="00FA4A3E"/>
    <w:rsid w:val="00FB1D1A"/>
    <w:rsid w:val="00FB257D"/>
    <w:rsid w:val="00FB4567"/>
    <w:rsid w:val="00FC1271"/>
    <w:rsid w:val="00FC55B8"/>
    <w:rsid w:val="00FD02E3"/>
    <w:rsid w:val="00FD12CB"/>
    <w:rsid w:val="00FD5575"/>
    <w:rsid w:val="00FE279C"/>
    <w:rsid w:val="00FE4BEF"/>
    <w:rsid w:val="00FE56E0"/>
    <w:rsid w:val="00FE6ADC"/>
    <w:rsid w:val="00FF122B"/>
    <w:rsid w:val="00FF4687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customStyle="1" w:styleId="normaltextrun">
    <w:name w:val="normaltextrun"/>
    <w:basedOn w:val="DefaultParagraphFont"/>
    <w:rsid w:val="00143019"/>
  </w:style>
  <w:style w:type="character" w:customStyle="1" w:styleId="eop">
    <w:name w:val="eop"/>
    <w:basedOn w:val="DefaultParagraphFont"/>
    <w:rsid w:val="001430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E20259-5945-4D00-B04C-7426E1239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250</cp:revision>
  <cp:lastPrinted>2024-12-04T07:08:00Z</cp:lastPrinted>
  <dcterms:created xsi:type="dcterms:W3CDTF">2022-12-06T08:34:00Z</dcterms:created>
  <dcterms:modified xsi:type="dcterms:W3CDTF">2025-01-11T08:15:00Z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