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B1D3751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7478D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="00A7478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CB2469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DF93585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08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B24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CD7DC1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3631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B36316" w:rsidRPr="00B3631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532CFF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337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63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BA LL.B./BBA </w:t>
            </w:r>
            <w:r w:rsidR="006337E8" w:rsidRPr="00B363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LL.B/B.COM LL.B.</w:t>
            </w:r>
            <w:r w:rsidR="001755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67F13" w:rsidRPr="00B363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(Hons.)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2583C0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6337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37E8" w:rsidRPr="00B363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LAW2034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E04832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6337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37E8" w:rsidRPr="00B3631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BHARATIYA SAKSHYA ADHINIYAM</w:t>
            </w:r>
            <w:r w:rsidR="006337E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C12FA8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337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1A4AD2F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337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FD8BE1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337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E6FA925" w:rsidR="00BC621A" w:rsidRDefault="00ED25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35" w:type="dxa"/>
          </w:tcPr>
          <w:p w14:paraId="15E465AD" w14:textId="61832272" w:rsidR="00BC621A" w:rsidRDefault="00ED25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</w:tcPr>
          <w:p w14:paraId="761D572A" w14:textId="29D296FD" w:rsidR="00BC621A" w:rsidRDefault="00ED25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1735" w:type="dxa"/>
          </w:tcPr>
          <w:p w14:paraId="5EA5E4BC" w14:textId="12D5DD85" w:rsidR="00BC621A" w:rsidRDefault="00ED25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14:paraId="1D44F184" w14:textId="0135A7F3" w:rsidR="00BC621A" w:rsidRDefault="00ED255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7008"/>
        <w:gridCol w:w="972"/>
        <w:gridCol w:w="1430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4F2772" w:rsidRPr="00293D36" w14:paraId="3026CF88" w14:textId="12BDD24F" w:rsidTr="004F2772">
        <w:trPr>
          <w:trHeight w:val="507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04EB759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Explain the term 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Fact in Issue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”.</w:t>
            </w:r>
          </w:p>
        </w:tc>
        <w:tc>
          <w:tcPr>
            <w:tcW w:w="9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4339C6" w:rsidR="004F2772" w:rsidRPr="00293D36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4249375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F2772" w:rsidRPr="00293D36" w14:paraId="1B8E9375" w14:textId="1F264430" w:rsidTr="004F2772">
        <w:trPr>
          <w:trHeight w:val="522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E73420E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Define 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Document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as per the </w:t>
            </w:r>
            <w:proofErr w:type="spellStart"/>
            <w:r w:rsidR="00577AC1">
              <w:rPr>
                <w:rFonts w:ascii="Times New Roman" w:hAnsi="Times New Roman"/>
                <w:sz w:val="24"/>
                <w:szCs w:val="24"/>
                <w:lang w:eastAsia="en-IN"/>
              </w:rPr>
              <w:t>Bharatiya</w:t>
            </w:r>
            <w:proofErr w:type="spellEnd"/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Sakshya</w:t>
            </w:r>
            <w:proofErr w:type="spellEnd"/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Adhiniyam</w:t>
            </w:r>
            <w:proofErr w:type="spellEnd"/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CF8AE9D" w:rsidR="004F2772" w:rsidRPr="00293D36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A39A84E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F2772" w:rsidRPr="00293D36" w14:paraId="5F84D05D" w14:textId="58E55F22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0A84DD2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What is the difference between 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May Presume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and 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Shall Presume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  <w:r w:rsidRPr="00BB37C0"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78CBEDA" w:rsidR="004F2772" w:rsidRPr="00293D36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0FA5FAC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E6411" w:rsidRPr="00293D36" w14:paraId="6BA36377" w14:textId="1F5DC35D" w:rsidTr="004F2772">
        <w:trPr>
          <w:trHeight w:val="472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E6411" w:rsidRPr="00293D36" w:rsidRDefault="00EE641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6F0D047" w:rsidR="00EE6411" w:rsidRPr="006337E8" w:rsidRDefault="001F14B1" w:rsidP="00EE641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Discuss in brief about the </w:t>
            </w:r>
            <w:r w:rsidR="004F2772" w:rsidRPr="003C6B23">
              <w:rPr>
                <w:rFonts w:ascii="Times New Roman" w:hAnsi="Times New Roman"/>
                <w:sz w:val="24"/>
                <w:szCs w:val="24"/>
                <w:lang w:eastAsia="en-IN"/>
              </w:rPr>
              <w:t>Doctrine of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Estoppel</w:t>
            </w:r>
            <w:r w:rsidR="004F2772" w:rsidRPr="003C6B23"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E6411" w:rsidRPr="00D307C6" w:rsidRDefault="00EE6411" w:rsidP="00EE64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F4B816C" w:rsidR="00EE6411" w:rsidRPr="00293D36" w:rsidRDefault="00476DC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0353130" w:rsidR="00EE6411" w:rsidRDefault="00EE641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E6411" w:rsidRPr="00293D36" w14:paraId="2B1E1DFD" w14:textId="3F03E895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E6411" w:rsidRPr="00293D36" w:rsidRDefault="00EE641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79BEB9E" w:rsidR="00EE6411" w:rsidRPr="004F2772" w:rsidRDefault="004F2772" w:rsidP="004F2772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5F723A">
              <w:rPr>
                <w:rFonts w:ascii="Times New Roman" w:hAnsi="Times New Roman"/>
                <w:sz w:val="24"/>
                <w:szCs w:val="24"/>
                <w:lang w:eastAsia="en-IN"/>
              </w:rPr>
              <w:t>When can explanatory facts be considered relevant?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E6411" w:rsidRPr="00D307C6" w:rsidRDefault="00EE6411" w:rsidP="00EE6411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3E193CB" w:rsidR="00EE6411" w:rsidRPr="00293D36" w:rsidRDefault="00476DC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3ACC0E7" w:rsidR="00EE6411" w:rsidRDefault="00EE641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F2772" w:rsidRPr="00293D36" w14:paraId="01AC2B5E" w14:textId="77777777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77D8758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0277">
              <w:rPr>
                <w:rFonts w:ascii="Times New Roman" w:hAnsi="Times New Roman"/>
                <w:sz w:val="24"/>
                <w:szCs w:val="24"/>
                <w:lang w:eastAsia="en-IN"/>
              </w:rPr>
              <w:t>What are the evidentiary requirements for the admissibility of a dying declaration?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E14E455" w:rsidR="004F2772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57115D0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F2772" w:rsidRPr="00293D36" w14:paraId="603AD316" w14:textId="77777777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5BE297D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0277">
              <w:rPr>
                <w:rFonts w:ascii="Times New Roman" w:hAnsi="Times New Roman"/>
                <w:sz w:val="24"/>
                <w:szCs w:val="24"/>
                <w:lang w:eastAsia="en-IN"/>
              </w:rPr>
              <w:t>Explain the evidentiary value of an expert opinion.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B9D2B1A" w:rsidR="004F2772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E5EC81A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F2772" w:rsidRPr="00293D36" w14:paraId="04BA4D63" w14:textId="77777777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C7164F8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Who is considered a competent witness under the </w:t>
            </w:r>
            <w:proofErr w:type="spellStart"/>
            <w:r w:rsidR="00577AC1">
              <w:rPr>
                <w:rFonts w:ascii="Times New Roman" w:hAnsi="Times New Roman"/>
                <w:sz w:val="24"/>
                <w:szCs w:val="24"/>
                <w:lang w:eastAsia="en-IN"/>
              </w:rPr>
              <w:t>Bharatiya</w:t>
            </w:r>
            <w:proofErr w:type="spellEnd"/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>Sakshya</w:t>
            </w:r>
            <w:proofErr w:type="spellEnd"/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>Adhiniyam</w:t>
            </w:r>
            <w:proofErr w:type="spellEnd"/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745985B" w:rsidR="004F2772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52F5CF1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F2772" w:rsidRPr="00293D36" w14:paraId="2B1948B6" w14:textId="77777777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FD9581A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Define 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>Privileged Communication</w:t>
            </w:r>
            <w:r w:rsidR="001023C5"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with example.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376F1AE" w:rsidR="004F2772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50D7F0B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F2772" w:rsidRPr="00293D36" w14:paraId="725634CF" w14:textId="77777777" w:rsidTr="004F2772">
        <w:trPr>
          <w:trHeight w:val="507"/>
        </w:trPr>
        <w:tc>
          <w:tcPr>
            <w:tcW w:w="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0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37B2433" w:rsidR="004F2772" w:rsidRPr="00293D36" w:rsidRDefault="004F2772" w:rsidP="004F2772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What </w:t>
            </w:r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do you mean by the term </w:t>
            </w:r>
            <w:r w:rsidR="00BF7387">
              <w:rPr>
                <w:rFonts w:ascii="Times New Roman" w:hAnsi="Times New Roman"/>
                <w:sz w:val="24"/>
                <w:szCs w:val="24"/>
                <w:lang w:eastAsia="en-IN"/>
              </w:rPr>
              <w:t>“</w:t>
            </w:r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>Hostile Witness</w:t>
            </w:r>
            <w:r w:rsidR="00BF7387">
              <w:rPr>
                <w:rFonts w:ascii="Times New Roman" w:hAnsi="Times New Roman"/>
                <w:sz w:val="24"/>
                <w:szCs w:val="24"/>
                <w:lang w:eastAsia="en-IN"/>
              </w:rPr>
              <w:t>”</w:t>
            </w:r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under </w:t>
            </w:r>
            <w:proofErr w:type="spellStart"/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>Bharatiya</w:t>
            </w:r>
            <w:proofErr w:type="spellEnd"/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>Sakshya</w:t>
            </w:r>
            <w:proofErr w:type="spellEnd"/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Adhiniyam</w:t>
            </w:r>
            <w:proofErr w:type="gramStart"/>
            <w:r w:rsidR="001F14B1">
              <w:rPr>
                <w:rFonts w:ascii="Times New Roman" w:hAnsi="Times New Roman"/>
                <w:sz w:val="24"/>
                <w:szCs w:val="24"/>
                <w:lang w:eastAsia="en-IN"/>
              </w:rPr>
              <w:t>,2023</w:t>
            </w:r>
            <w:proofErr w:type="gramEnd"/>
            <w:r w:rsidRPr="009939D2"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4F2772" w:rsidRPr="00D307C6" w:rsidRDefault="004F2772" w:rsidP="004F27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74F2F48" w:rsidR="004F2772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1CF7547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6"/>
        <w:gridCol w:w="6210"/>
        <w:gridCol w:w="992"/>
        <w:gridCol w:w="1418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577AC1">
        <w:trPr>
          <w:trHeight w:val="31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6BB947C2" w:rsidR="00D307C6" w:rsidRPr="00577AC1" w:rsidRDefault="00353F3A" w:rsidP="001A62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3A">
              <w:rPr>
                <w:rFonts w:ascii="Times New Roman" w:hAnsi="Times New Roman"/>
                <w:sz w:val="24"/>
                <w:szCs w:val="24"/>
              </w:rPr>
              <w:t>A litigant presents photocopies of a document as evidence, claiming the original is lost</w:t>
            </w:r>
            <w:r w:rsidR="001F14B1">
              <w:rPr>
                <w:rFonts w:ascii="Times New Roman" w:hAnsi="Times New Roman"/>
                <w:sz w:val="24"/>
                <w:szCs w:val="24"/>
              </w:rPr>
              <w:t xml:space="preserve">, but 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 xml:space="preserve">opposing counsel objects. </w:t>
            </w:r>
            <w:r w:rsidR="003C47DD">
              <w:rPr>
                <w:rFonts w:ascii="Times New Roman" w:hAnsi="Times New Roman"/>
                <w:sz w:val="24"/>
                <w:szCs w:val="24"/>
              </w:rPr>
              <w:t>Evaluate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 xml:space="preserve"> whether the photocopies qualify as 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“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>Secondary Evidence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”.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8117CE" w:rsidRDefault="008117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E99A887" w14:textId="2DEB12A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9D93799" w:rsidR="00D307C6" w:rsidRPr="00293D36" w:rsidRDefault="00476DC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318276F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577AC1">
        <w:trPr>
          <w:trHeight w:val="31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088276A" w:rsidR="00387FD2" w:rsidRPr="00577AC1" w:rsidRDefault="00353F3A" w:rsidP="001A62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3A">
              <w:rPr>
                <w:rFonts w:ascii="Times New Roman" w:hAnsi="Times New Roman"/>
                <w:sz w:val="24"/>
                <w:szCs w:val="24"/>
              </w:rPr>
              <w:t xml:space="preserve">In a cybercrime case, the prosecution seeks to admit electronic records from the accused's computer. The </w:t>
            </w:r>
            <w:proofErr w:type="spellStart"/>
            <w:r w:rsidR="00295DD3">
              <w:rPr>
                <w:rFonts w:ascii="Times New Roman" w:hAnsi="Times New Roman"/>
                <w:sz w:val="24"/>
                <w:szCs w:val="24"/>
              </w:rPr>
              <w:t>defence</w:t>
            </w:r>
            <w:proofErr w:type="spellEnd"/>
            <w:r w:rsidRPr="00353F3A">
              <w:rPr>
                <w:rFonts w:ascii="Times New Roman" w:hAnsi="Times New Roman"/>
                <w:sz w:val="24"/>
                <w:szCs w:val="24"/>
              </w:rPr>
              <w:t xml:space="preserve"> argues they are inadmissible. </w:t>
            </w:r>
            <w:proofErr w:type="spellStart"/>
            <w:r w:rsidR="006E2B92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353F3A">
              <w:rPr>
                <w:rFonts w:ascii="Times New Roman" w:hAnsi="Times New Roman"/>
                <w:sz w:val="24"/>
                <w:szCs w:val="24"/>
              </w:rPr>
              <w:t xml:space="preserve"> the criteria for admissibility of electronic records.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F30C4A2" w14:textId="673A84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858953A" w:rsidR="00387FD2" w:rsidRPr="00293D36" w:rsidRDefault="00476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7204A5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577AC1"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577AC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A389BDE" w:rsidR="00387FD2" w:rsidRPr="001F14B1" w:rsidRDefault="00353F3A" w:rsidP="001A62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3A">
              <w:rPr>
                <w:rFonts w:ascii="Times New Roman" w:hAnsi="Times New Roman"/>
                <w:sz w:val="24"/>
                <w:szCs w:val="24"/>
              </w:rPr>
              <w:t xml:space="preserve">During cross-examination, a lawyer asks a witness leading questions about events they claim to have witnessed. </w:t>
            </w:r>
            <w:r w:rsidR="00502764">
              <w:rPr>
                <w:rFonts w:ascii="Times New Roman" w:hAnsi="Times New Roman"/>
                <w:sz w:val="24"/>
                <w:szCs w:val="24"/>
              </w:rPr>
              <w:t>Evaluate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 xml:space="preserve"> the permissibility of leading questions in this scenario</w:t>
            </w:r>
            <w:r w:rsidR="001F14B1">
              <w:rPr>
                <w:rFonts w:ascii="Times New Roman" w:hAnsi="Times New Roman"/>
                <w:sz w:val="24"/>
                <w:szCs w:val="24"/>
              </w:rPr>
              <w:t xml:space="preserve"> and discuss the condition in which the leading questions may be asked.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112FFF1" w:rsidR="00387FD2" w:rsidRPr="00293D36" w:rsidRDefault="00476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37FE39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577AC1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5128A968" w:rsidR="00387FD2" w:rsidRPr="00293D36" w:rsidRDefault="00353F3A" w:rsidP="001A6271">
            <w:pPr>
              <w:spacing w:after="0"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53F3A">
              <w:rPr>
                <w:rFonts w:ascii="Times New Roman" w:hAnsi="Times New Roman"/>
                <w:sz w:val="24"/>
                <w:szCs w:val="24"/>
              </w:rPr>
              <w:t xml:space="preserve">A witness refreshes their memory using a personal diary before testifying. The opposing counsel objects. </w:t>
            </w:r>
            <w:proofErr w:type="spellStart"/>
            <w:r w:rsidR="00AB22ED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353F3A">
              <w:rPr>
                <w:rFonts w:ascii="Times New Roman" w:hAnsi="Times New Roman"/>
                <w:sz w:val="24"/>
                <w:szCs w:val="24"/>
              </w:rPr>
              <w:t xml:space="preserve"> the validity of this action under the </w:t>
            </w:r>
            <w:proofErr w:type="spellStart"/>
            <w:r w:rsidR="00577AC1">
              <w:rPr>
                <w:rFonts w:ascii="Times New Roman" w:hAnsi="Times New Roman"/>
                <w:sz w:val="24"/>
                <w:szCs w:val="24"/>
              </w:rPr>
              <w:t>Bharatiya</w:t>
            </w:r>
            <w:proofErr w:type="spellEnd"/>
            <w:r w:rsidRPr="00353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F3A">
              <w:rPr>
                <w:rFonts w:ascii="Times New Roman" w:hAnsi="Times New Roman"/>
                <w:sz w:val="24"/>
                <w:szCs w:val="24"/>
              </w:rPr>
              <w:t>Sakshya</w:t>
            </w:r>
            <w:proofErr w:type="spellEnd"/>
            <w:r w:rsidRPr="00353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3F3A">
              <w:rPr>
                <w:rFonts w:ascii="Times New Roman" w:hAnsi="Times New Roman"/>
                <w:sz w:val="24"/>
                <w:szCs w:val="24"/>
              </w:rPr>
              <w:t>Adhiniyam</w:t>
            </w:r>
            <w:proofErr w:type="spellEnd"/>
            <w:r w:rsidRPr="00353F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F2BF6E9" w14:textId="1CC41AD1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4112D09C" w:rsidR="00387FD2" w:rsidRPr="00293D36" w:rsidRDefault="00476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B84F6D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992"/>
        <w:gridCol w:w="1418"/>
        <w:gridCol w:w="709"/>
      </w:tblGrid>
      <w:tr w:rsidR="00387FD2" w:rsidRPr="00293D36" w14:paraId="06AACFFA" w14:textId="3892CA96" w:rsidTr="00EE641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396151DB" w:rsidR="00387FD2" w:rsidRPr="00577AC1" w:rsidRDefault="00353F3A" w:rsidP="001A62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3A">
              <w:rPr>
                <w:rFonts w:ascii="Times New Roman" w:hAnsi="Times New Roman"/>
                <w:sz w:val="24"/>
                <w:szCs w:val="24"/>
              </w:rPr>
              <w:t xml:space="preserve">During a fraud case, a piece of evidence is labeled as 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“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>Conclusive Proof</w:t>
            </w:r>
            <w:r w:rsidR="00577AC1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 xml:space="preserve">The opposing counsel challenges this assertion. </w:t>
            </w:r>
            <w:proofErr w:type="spellStart"/>
            <w:r w:rsidR="00AB22ED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="00AB22ED" w:rsidRPr="00353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>the criteria for such classification and decide its evidentiary value.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34F494E5" w:rsidR="008117CE" w:rsidRDefault="001F14B1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</w:t>
            </w:r>
          </w:p>
          <w:p w14:paraId="285FFF6E" w14:textId="2D73E2C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FDB71CE" w:rsidR="00387FD2" w:rsidRPr="00293D36" w:rsidRDefault="00476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945A64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255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EE641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76EED594" w:rsidR="00387FD2" w:rsidRPr="00577AC1" w:rsidRDefault="00353F3A" w:rsidP="004F2772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F3A">
              <w:rPr>
                <w:rFonts w:ascii="Times New Roman" w:hAnsi="Times New Roman"/>
                <w:sz w:val="24"/>
                <w:szCs w:val="24"/>
              </w:rPr>
              <w:t xml:space="preserve">A witness claims to have 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“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>disproved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”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 xml:space="preserve"> a fact through his testimony, while the prosecution argues it is only 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“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>not proved</w:t>
            </w:r>
            <w:r w:rsidR="00577AC1">
              <w:rPr>
                <w:rFonts w:ascii="Times New Roman" w:hAnsi="Times New Roman"/>
                <w:sz w:val="24"/>
                <w:szCs w:val="24"/>
              </w:rPr>
              <w:t>”.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4078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="006D4078" w:rsidRPr="00353F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3F3A">
              <w:rPr>
                <w:rFonts w:ascii="Times New Roman" w:hAnsi="Times New Roman"/>
                <w:sz w:val="24"/>
                <w:szCs w:val="24"/>
              </w:rPr>
              <w:t>the situation and determine the evidentiary impact.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55C1B8BF" w:rsidR="008117CE" w:rsidRDefault="00B82375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4+6</w:t>
            </w:r>
          </w:p>
          <w:p w14:paraId="7B8097FB" w14:textId="71DCC8CE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B89DD7E" w:rsidR="00387FD2" w:rsidRPr="00293D36" w:rsidRDefault="00476DC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22FCDF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255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992"/>
        <w:gridCol w:w="1418"/>
        <w:gridCol w:w="709"/>
      </w:tblGrid>
      <w:tr w:rsidR="009144EB" w:rsidRPr="00293D36" w14:paraId="63EB4225" w14:textId="77777777" w:rsidTr="00EE641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2C76F67" w:rsidR="009144EB" w:rsidRPr="00577AC1" w:rsidRDefault="00B82375" w:rsidP="004F2772">
            <w:pPr>
              <w:spacing w:after="16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37E8">
              <w:rPr>
                <w:rFonts w:ascii="Times New Roman" w:hAnsi="Times New Roman"/>
                <w:sz w:val="24"/>
                <w:szCs w:val="24"/>
              </w:rPr>
              <w:t xml:space="preserve">A six-year-old child is the sole eyewitness to a murder.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defence</w:t>
            </w:r>
            <w:proofErr w:type="spellEnd"/>
            <w:r w:rsidRPr="006337E8">
              <w:rPr>
                <w:rFonts w:ascii="Times New Roman" w:hAnsi="Times New Roman"/>
                <w:sz w:val="24"/>
                <w:szCs w:val="24"/>
              </w:rPr>
              <w:t xml:space="preserve"> argues the child is not competent to testify. </w:t>
            </w:r>
            <w:r w:rsidR="00336439">
              <w:rPr>
                <w:rFonts w:ascii="Times New Roman" w:hAnsi="Times New Roman"/>
                <w:sz w:val="24"/>
                <w:szCs w:val="24"/>
              </w:rPr>
              <w:t>Apply</w:t>
            </w:r>
            <w:r w:rsidRPr="006337E8">
              <w:rPr>
                <w:rFonts w:ascii="Times New Roman" w:hAnsi="Times New Roman"/>
                <w:sz w:val="24"/>
                <w:szCs w:val="24"/>
              </w:rPr>
              <w:t xml:space="preserve"> the legal principles governing competency of witnesses to determine whether the child’s testimony is admissible.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3D585599" w14:textId="26A5DD1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EFF92CF" w:rsidR="009144EB" w:rsidRPr="00293D36" w:rsidRDefault="00476DC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004A8A0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B82375">
        <w:trPr>
          <w:trHeight w:val="42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E164F" w14:textId="77777777" w:rsidR="00B82375" w:rsidRPr="00B82375" w:rsidRDefault="00B82375" w:rsidP="00B82375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82375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Ravi is accused of murdering his neighbour, Suresh, due to a property dispute. The prosecution argues that Ravi had a strong </w:t>
            </w:r>
            <w:r w:rsidRPr="00F23574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motive </w:t>
            </w:r>
            <w:r w:rsidRPr="00B82375">
              <w:rPr>
                <w:rFonts w:ascii="Times New Roman" w:hAnsi="Times New Roman"/>
                <w:sz w:val="24"/>
                <w:szCs w:val="24"/>
                <w:lang w:val="en-IN" w:eastAsia="en-IN"/>
              </w:rPr>
              <w:t>to commit the murder. To support their case, they present several pieces of evidence:</w:t>
            </w:r>
          </w:p>
          <w:p w14:paraId="287A9E81" w14:textId="77777777" w:rsidR="00B82375" w:rsidRPr="00B82375" w:rsidRDefault="00B82375" w:rsidP="00B82375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82375">
              <w:rPr>
                <w:rFonts w:ascii="Times New Roman" w:hAnsi="Times New Roman"/>
                <w:sz w:val="24"/>
                <w:szCs w:val="24"/>
                <w:lang w:val="en-IN" w:eastAsia="en-IN"/>
              </w:rPr>
              <w:t>A threatening message from Ravi to Suresh two weeks before the murder.</w:t>
            </w:r>
          </w:p>
          <w:p w14:paraId="031F917C" w14:textId="77777777" w:rsidR="00B82375" w:rsidRPr="00B82375" w:rsidRDefault="00B82375" w:rsidP="00B82375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82375">
              <w:rPr>
                <w:rFonts w:ascii="Times New Roman" w:hAnsi="Times New Roman"/>
                <w:sz w:val="24"/>
                <w:szCs w:val="24"/>
                <w:lang w:val="en-IN" w:eastAsia="en-IN"/>
              </w:rPr>
              <w:t>Ravi's purchase of a kitchen knife a few days prior to the crime.</w:t>
            </w:r>
          </w:p>
          <w:p w14:paraId="0AE168E9" w14:textId="77777777" w:rsidR="00B82375" w:rsidRPr="00B82375" w:rsidRDefault="00B82375" w:rsidP="00B82375">
            <w:pPr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B82375">
              <w:rPr>
                <w:rFonts w:ascii="Times New Roman" w:hAnsi="Times New Roman"/>
                <w:sz w:val="24"/>
                <w:szCs w:val="24"/>
                <w:lang w:val="en-IN" w:eastAsia="en-IN"/>
              </w:rPr>
              <w:t>A witness saw Ravi near Suresh’s house on the night of the murder.</w:t>
            </w:r>
          </w:p>
          <w:p w14:paraId="75788C3D" w14:textId="683E187B" w:rsidR="00B82375" w:rsidRPr="00B82375" w:rsidRDefault="00B82375" w:rsidP="00B82375">
            <w:pPr>
              <w:pStyle w:val="NormalWeb"/>
              <w:spacing w:line="360" w:lineRule="auto"/>
              <w:jc w:val="both"/>
            </w:pPr>
            <w:r w:rsidRPr="00B82375">
              <w:t>On the above problem elaborate the relevance of the</w:t>
            </w:r>
            <w:r w:rsidRPr="00B82375">
              <w:rPr>
                <w:b/>
                <w:bCs/>
              </w:rPr>
              <w:t xml:space="preserve"> </w:t>
            </w:r>
            <w:r w:rsidRPr="00F23574">
              <w:rPr>
                <w:rStyle w:val="Strong"/>
                <w:b w:val="0"/>
                <w:bCs w:val="0"/>
              </w:rPr>
              <w:t>threatening message</w:t>
            </w:r>
            <w:r w:rsidRPr="00B82375">
              <w:t xml:space="preserve"> as evidence of motive under Section 6 of the </w:t>
            </w:r>
            <w:proofErr w:type="spellStart"/>
            <w:r w:rsidRPr="00B82375">
              <w:t>Bharatiya</w:t>
            </w:r>
            <w:proofErr w:type="spellEnd"/>
            <w:r w:rsidRPr="00B82375">
              <w:t xml:space="preserve"> </w:t>
            </w:r>
            <w:proofErr w:type="spellStart"/>
            <w:r w:rsidRPr="00B82375">
              <w:t>Sakshya</w:t>
            </w:r>
            <w:proofErr w:type="spellEnd"/>
            <w:r w:rsidRPr="00B82375">
              <w:t xml:space="preserve"> </w:t>
            </w:r>
            <w:proofErr w:type="spellStart"/>
            <w:r w:rsidRPr="00B82375">
              <w:t>Adhiniyam</w:t>
            </w:r>
            <w:proofErr w:type="spellEnd"/>
            <w:r w:rsidRPr="00B82375">
              <w:t>, 2023.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A8E757" w14:textId="14EC063B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D25431A" w:rsidR="009144EB" w:rsidRPr="00293D36" w:rsidRDefault="00476DC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627936A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992"/>
        <w:gridCol w:w="1418"/>
        <w:gridCol w:w="709"/>
      </w:tblGrid>
      <w:tr w:rsidR="009144EB" w:rsidRPr="00293D36" w14:paraId="2A94AD1F" w14:textId="77777777" w:rsidTr="00B8237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25CC9E" w14:textId="5DEB68D5" w:rsidR="00B82375" w:rsidRPr="00577AC1" w:rsidRDefault="00B82375" w:rsidP="00B82375">
            <w:pPr>
              <w:pStyle w:val="NormalWeb"/>
              <w:spacing w:line="360" w:lineRule="auto"/>
              <w:jc w:val="both"/>
            </w:pPr>
            <w:r w:rsidRPr="009F7086">
              <w:t>Raj is accused of robbing a bank at 5 PM on Ju</w:t>
            </w:r>
            <w:r>
              <w:t>ly</w:t>
            </w:r>
            <w:r w:rsidRPr="009F7086">
              <w:t xml:space="preserve"> 15</w:t>
            </w:r>
            <w:r w:rsidRPr="007A4BB3">
              <w:rPr>
                <w:vertAlign w:val="superscript"/>
              </w:rPr>
              <w:t>th</w:t>
            </w:r>
            <w:proofErr w:type="gramStart"/>
            <w:r>
              <w:t>,2024</w:t>
            </w:r>
            <w:proofErr w:type="gramEnd"/>
            <w:r w:rsidRPr="009F7086">
              <w:t xml:space="preserve">. He claims he was attending his cousin's wedding in a different city, 300 </w:t>
            </w:r>
            <w:proofErr w:type="spellStart"/>
            <w:r w:rsidRPr="009F7086">
              <w:t>kilometers</w:t>
            </w:r>
            <w:proofErr w:type="spellEnd"/>
            <w:r w:rsidRPr="009F7086">
              <w:t xml:space="preserve"> away, from 3 PM to 8 PM. To support his </w:t>
            </w:r>
            <w:r w:rsidRPr="00B82375">
              <w:rPr>
                <w:rStyle w:val="Strong"/>
                <w:b w:val="0"/>
                <w:bCs w:val="0"/>
              </w:rPr>
              <w:t>plea of alibi</w:t>
            </w:r>
            <w:r w:rsidRPr="009F7086">
              <w:t xml:space="preserve">, Raj presents testimonies from relatives, time-stamped photos from the wedding, and a toll receipt showing his car passing through a toll booth 200 </w:t>
            </w:r>
            <w:proofErr w:type="spellStart"/>
            <w:r w:rsidRPr="009F7086">
              <w:t>kilometers</w:t>
            </w:r>
            <w:proofErr w:type="spellEnd"/>
            <w:r w:rsidRPr="009F7086">
              <w:t xml:space="preserve"> away from the crime scene earlier that day. The prosecution, however, argues that Raj could have left the wedding, driven back to commit the robbery, and returned unnoticed. Critically analyse t</w:t>
            </w:r>
            <w:r w:rsidRPr="00730FD0">
              <w:t xml:space="preserve">he value of </w:t>
            </w:r>
            <w:r w:rsidRPr="00730FD0">
              <w:lastRenderedPageBreak/>
              <w:t xml:space="preserve">testimonies from wedding attendees in supporting </w:t>
            </w:r>
            <w:proofErr w:type="spellStart"/>
            <w:r w:rsidRPr="00730FD0">
              <w:t>Raj’s</w:t>
            </w:r>
            <w:proofErr w:type="spellEnd"/>
            <w:r w:rsidRPr="00730FD0">
              <w:t xml:space="preserve"> alibi</w:t>
            </w:r>
            <w:r w:rsidRPr="009F7086">
              <w:t>.</w:t>
            </w:r>
            <w:r w:rsidR="00F23574">
              <w:t xml:space="preserve"> </w:t>
            </w:r>
            <w:r>
              <w:t xml:space="preserve">Also explain </w:t>
            </w:r>
            <w:r w:rsidRPr="009F7086">
              <w:t xml:space="preserve">the role of time-stamped photos in proving </w:t>
            </w:r>
            <w:proofErr w:type="spellStart"/>
            <w:r w:rsidRPr="009F7086">
              <w:t>Raj's</w:t>
            </w:r>
            <w:proofErr w:type="spellEnd"/>
            <w:r w:rsidRPr="009F7086">
              <w:t xml:space="preserve"> presence at the wedding.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5D6041FD" w:rsidR="008117CE" w:rsidRDefault="00E42E6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  <w:bookmarkStart w:id="0" w:name="_GoBack"/>
            <w:bookmarkEnd w:id="0"/>
            <w:r w:rsidR="00B82375">
              <w:rPr>
                <w:rFonts w:ascii="Cambria" w:hAnsi="Cambria" w:cstheme="minorHAnsi"/>
                <w:b/>
                <w:sz w:val="24"/>
                <w:szCs w:val="24"/>
              </w:rPr>
              <w:t>+7</w:t>
            </w:r>
          </w:p>
          <w:p w14:paraId="7C278F14" w14:textId="66BBE9C1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35AD9B34" w:rsidR="009144EB" w:rsidRPr="00293D36" w:rsidRDefault="00476DC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21A5B34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293D36" w14:paraId="7E975EDE" w14:textId="77777777" w:rsidTr="00EE641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7494DB44" w:rsidR="009144EB" w:rsidRPr="00577AC1" w:rsidRDefault="00577AC1" w:rsidP="001A62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91E">
              <w:rPr>
                <w:rFonts w:ascii="Times New Roman" w:hAnsi="Times New Roman"/>
                <w:sz w:val="24"/>
                <w:szCs w:val="24"/>
              </w:rPr>
              <w:t xml:space="preserve">During a trial, a party argues that a fact is “Proved” because the evidence presented is highly probable. The opposing party contends it is only “Not Proved.” </w:t>
            </w:r>
            <w:proofErr w:type="spellStart"/>
            <w:r w:rsidR="001E5E74">
              <w:rPr>
                <w:rFonts w:ascii="Times New Roman" w:hAnsi="Times New Roman"/>
                <w:sz w:val="24"/>
                <w:szCs w:val="24"/>
              </w:rPr>
              <w:t>Analyse</w:t>
            </w:r>
            <w:proofErr w:type="spellEnd"/>
            <w:r w:rsidRPr="004F391E">
              <w:rPr>
                <w:rFonts w:ascii="Times New Roman" w:hAnsi="Times New Roman"/>
                <w:sz w:val="24"/>
                <w:szCs w:val="24"/>
              </w:rPr>
              <w:t xml:space="preserve"> this dispute using the definitions under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Bharatiya</w:t>
            </w:r>
            <w:proofErr w:type="spellEnd"/>
            <w:r w:rsidRPr="004F3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91E">
              <w:rPr>
                <w:rFonts w:ascii="Times New Roman" w:hAnsi="Times New Roman"/>
                <w:sz w:val="24"/>
                <w:szCs w:val="24"/>
              </w:rPr>
              <w:t>Sakshya</w:t>
            </w:r>
            <w:proofErr w:type="spellEnd"/>
            <w:r w:rsidRPr="004F39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91E">
              <w:rPr>
                <w:rFonts w:ascii="Times New Roman" w:hAnsi="Times New Roman"/>
                <w:sz w:val="24"/>
                <w:szCs w:val="24"/>
              </w:rPr>
              <w:t>Adhiniyam</w:t>
            </w:r>
            <w:proofErr w:type="spellEnd"/>
            <w:r w:rsidR="00B82375">
              <w:rPr>
                <w:rFonts w:ascii="Times New Roman" w:hAnsi="Times New Roman"/>
                <w:sz w:val="24"/>
                <w:szCs w:val="24"/>
              </w:rPr>
              <w:t>, 2023 and discuss the judicial trends.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3D8F11FD" w:rsidR="008117CE" w:rsidRDefault="00B82375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8+7</w:t>
            </w:r>
          </w:p>
          <w:p w14:paraId="09117A79" w14:textId="153EE18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15EA6D74" w:rsidR="009144EB" w:rsidRPr="00293D36" w:rsidRDefault="00476DC1" w:rsidP="00EE641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6CDB65D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641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210"/>
        <w:gridCol w:w="992"/>
        <w:gridCol w:w="1418"/>
        <w:gridCol w:w="709"/>
      </w:tblGrid>
      <w:tr w:rsidR="004F2772" w:rsidRPr="00293D36" w14:paraId="2FBF7D0A" w14:textId="77777777" w:rsidTr="00EE641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810D6" w14:textId="1AC10688" w:rsidR="004F2772" w:rsidRDefault="004F2772" w:rsidP="004F277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91E">
              <w:rPr>
                <w:rFonts w:ascii="Times New Roman" w:hAnsi="Times New Roman"/>
                <w:sz w:val="24"/>
                <w:szCs w:val="24"/>
              </w:rPr>
              <w:t xml:space="preserve">In a corruption case, the accused admits to accepting a bribe during a private conversation. The prosecution seeks to admit this as an "Admission." </w:t>
            </w:r>
            <w:r w:rsidR="00837F3A">
              <w:rPr>
                <w:rFonts w:ascii="Times New Roman" w:hAnsi="Times New Roman"/>
                <w:sz w:val="24"/>
                <w:szCs w:val="24"/>
              </w:rPr>
              <w:t>Evaluate</w:t>
            </w:r>
            <w:r w:rsidRPr="004F391E">
              <w:rPr>
                <w:rFonts w:ascii="Times New Roman" w:hAnsi="Times New Roman"/>
                <w:sz w:val="24"/>
                <w:szCs w:val="24"/>
              </w:rPr>
              <w:t xml:space="preserve"> its admissibility.</w:t>
            </w:r>
          </w:p>
          <w:p w14:paraId="20AFDD5C" w14:textId="21BC165C" w:rsidR="004F2772" w:rsidRPr="00293D36" w:rsidRDefault="004F2772" w:rsidP="001A6271">
            <w:pPr>
              <w:spacing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F391E">
              <w:rPr>
                <w:rFonts w:ascii="Times New Roman" w:hAnsi="Times New Roman"/>
                <w:sz w:val="24"/>
                <w:szCs w:val="24"/>
              </w:rPr>
              <w:t>A confession made before a magistrate implicates both the confessor and a co-accused. The co-accused disputes its admissibility. Discuss the principles applicable to such a confession.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5EFFA7A0" w:rsidR="004F2772" w:rsidRDefault="00B82375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</w:t>
            </w:r>
          </w:p>
          <w:p w14:paraId="15CBE4EC" w14:textId="5257A8E8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65B37B81" w:rsidR="004F2772" w:rsidRPr="00293D36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0DD8AC17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F2772" w:rsidRPr="00293D36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4F2772" w:rsidRPr="00D8462B" w:rsidRDefault="004F2772" w:rsidP="004F2772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4F2772" w:rsidRPr="00293D36" w14:paraId="0FC4F57F" w14:textId="77777777" w:rsidTr="00EE641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4F2772" w:rsidRPr="00293D36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2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7807E" w14:textId="77777777" w:rsidR="00B82375" w:rsidRPr="00CD04DD" w:rsidRDefault="00B82375" w:rsidP="00202DC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CD04DD">
              <w:rPr>
                <w:rFonts w:ascii="Times New Roman" w:hAnsi="Times New Roman"/>
                <w:sz w:val="24"/>
                <w:szCs w:val="24"/>
                <w:lang w:val="en-IN" w:eastAsia="en-IN"/>
              </w:rPr>
              <w:t>A fire at a factory result in significant damage and the death of two workers. The factory owner, Mr. Patel, is accused of negligence due to faulty electrical wiring. The prosecution presents several facts:</w:t>
            </w:r>
          </w:p>
          <w:p w14:paraId="18195B3C" w14:textId="77777777" w:rsidR="00B82375" w:rsidRPr="00CD04DD" w:rsidRDefault="00B82375" w:rsidP="00202DC6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CD04DD">
              <w:rPr>
                <w:rFonts w:ascii="Times New Roman" w:hAnsi="Times New Roman"/>
                <w:sz w:val="24"/>
                <w:szCs w:val="24"/>
                <w:lang w:val="en-IN" w:eastAsia="en-IN"/>
              </w:rPr>
              <w:t>Employee complaints about faulty wiring.</w:t>
            </w:r>
          </w:p>
          <w:p w14:paraId="1FCDD135" w14:textId="77777777" w:rsidR="00B82375" w:rsidRPr="00CD04DD" w:rsidRDefault="00B82375" w:rsidP="00202DC6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CD04DD">
              <w:rPr>
                <w:rFonts w:ascii="Times New Roman" w:hAnsi="Times New Roman"/>
                <w:sz w:val="24"/>
                <w:szCs w:val="24"/>
                <w:lang w:val="en-IN" w:eastAsia="en-IN"/>
              </w:rPr>
              <w:t>The disconnection of the fire alarm system during the fire.</w:t>
            </w:r>
          </w:p>
          <w:p w14:paraId="35DFB1E0" w14:textId="77777777" w:rsidR="00B82375" w:rsidRPr="00CD04DD" w:rsidRDefault="00B82375" w:rsidP="00202DC6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CD04DD">
              <w:rPr>
                <w:rFonts w:ascii="Times New Roman" w:hAnsi="Times New Roman"/>
                <w:sz w:val="24"/>
                <w:szCs w:val="24"/>
                <w:lang w:val="en-IN" w:eastAsia="en-IN"/>
              </w:rPr>
              <w:t>A warning letter from the insurance company about electrical hazards sent a week before the fire.</w:t>
            </w:r>
          </w:p>
          <w:p w14:paraId="61B7AD1F" w14:textId="77777777" w:rsidR="00B82375" w:rsidRPr="00CD04DD" w:rsidRDefault="00B82375" w:rsidP="00202DC6">
            <w:pPr>
              <w:numPr>
                <w:ilvl w:val="0"/>
                <w:numId w:val="22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CD04DD">
              <w:rPr>
                <w:rFonts w:ascii="Times New Roman" w:hAnsi="Times New Roman"/>
                <w:sz w:val="24"/>
                <w:szCs w:val="24"/>
                <w:lang w:val="en-IN" w:eastAsia="en-IN"/>
              </w:rPr>
              <w:t>A previous fire incident in the same factory due to similar reasons six months earlier.</w:t>
            </w:r>
          </w:p>
          <w:p w14:paraId="5E797ACA" w14:textId="0D811217" w:rsidR="00B82375" w:rsidRPr="00CD04DD" w:rsidRDefault="00B82375" w:rsidP="00202DC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4DD">
              <w:rPr>
                <w:rFonts w:ascii="Times New Roman" w:hAnsi="Times New Roman"/>
                <w:sz w:val="24"/>
                <w:szCs w:val="24"/>
              </w:rPr>
              <w:t xml:space="preserve">On the basis of above issue, discuss the admissibility of the </w:t>
            </w:r>
            <w:r w:rsidRPr="00B82375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previous fire</w:t>
            </w:r>
            <w:r w:rsidRPr="00CD04DD">
              <w:rPr>
                <w:rFonts w:ascii="Times New Roman" w:hAnsi="Times New Roman"/>
                <w:sz w:val="24"/>
                <w:szCs w:val="24"/>
              </w:rPr>
              <w:t xml:space="preserve"> as evidence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CD04DD">
              <w:rPr>
                <w:rFonts w:ascii="Times New Roman" w:hAnsi="Times New Roman"/>
                <w:sz w:val="24"/>
                <w:szCs w:val="24"/>
              </w:rPr>
              <w:t>haratiya</w:t>
            </w:r>
            <w:proofErr w:type="spellEnd"/>
            <w:r w:rsidRPr="00CD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4DD">
              <w:rPr>
                <w:rFonts w:ascii="Times New Roman" w:hAnsi="Times New Roman"/>
                <w:sz w:val="24"/>
                <w:szCs w:val="24"/>
              </w:rPr>
              <w:t>Sakshya</w:t>
            </w:r>
            <w:proofErr w:type="spellEnd"/>
            <w:r w:rsidRPr="00CD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4DD">
              <w:rPr>
                <w:rFonts w:ascii="Times New Roman" w:hAnsi="Times New Roman"/>
                <w:sz w:val="24"/>
                <w:szCs w:val="24"/>
              </w:rPr>
              <w:t>Adhiniyam</w:t>
            </w:r>
            <w:proofErr w:type="spellEnd"/>
            <w:r w:rsidRPr="00CD04DD">
              <w:rPr>
                <w:rFonts w:ascii="Times New Roman" w:hAnsi="Times New Roman"/>
                <w:sz w:val="24"/>
                <w:szCs w:val="24"/>
              </w:rPr>
              <w:t xml:space="preserve"> 2023.</w:t>
            </w:r>
          </w:p>
          <w:p w14:paraId="29289B61" w14:textId="5233468F" w:rsidR="004F2772" w:rsidRPr="00577AC1" w:rsidRDefault="002705A0" w:rsidP="001A627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Analyse</w:t>
            </w:r>
            <w:proofErr w:type="spellEnd"/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3574">
              <w:rPr>
                <w:rFonts w:ascii="Times New Roman" w:hAnsi="Times New Roman"/>
                <w:sz w:val="24"/>
                <w:szCs w:val="24"/>
              </w:rPr>
              <w:t xml:space="preserve">the above facts </w:t>
            </w:r>
            <w:r w:rsidR="00B82375">
              <w:rPr>
                <w:rFonts w:ascii="Times New Roman" w:hAnsi="Times New Roman"/>
                <w:sz w:val="24"/>
                <w:szCs w:val="24"/>
              </w:rPr>
              <w:t xml:space="preserve">that whether </w:t>
            </w:r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the relevance of the </w:t>
            </w:r>
            <w:r w:rsidR="00B82375" w:rsidRPr="00B82375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disconnected fire alarm</w:t>
            </w:r>
            <w:r w:rsidR="00B82375" w:rsidRPr="00B82375">
              <w:rPr>
                <w:rFonts w:ascii="Times New Roman" w:hAnsi="Times New Roman"/>
                <w:sz w:val="24"/>
                <w:szCs w:val="24"/>
              </w:rPr>
              <w:t xml:space="preserve"> as a contributing cause and the use of </w:t>
            </w:r>
            <w:r w:rsidR="00B82375" w:rsidRPr="00B82375"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  <w:t>previous complaints</w:t>
            </w:r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2375">
              <w:rPr>
                <w:rFonts w:ascii="Times New Roman" w:hAnsi="Times New Roman"/>
                <w:sz w:val="24"/>
                <w:szCs w:val="24"/>
              </w:rPr>
              <w:t xml:space="preserve">are sufficient </w:t>
            </w:r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to establish a pattern of </w:t>
            </w:r>
            <w:proofErr w:type="spellStart"/>
            <w:r w:rsidR="00F23574">
              <w:rPr>
                <w:rFonts w:ascii="Times New Roman" w:hAnsi="Times New Roman"/>
                <w:sz w:val="24"/>
                <w:szCs w:val="24"/>
              </w:rPr>
              <w:t>behaviour</w:t>
            </w:r>
            <w:proofErr w:type="spellEnd"/>
            <w:r w:rsidR="00F2357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negligence under </w:t>
            </w:r>
            <w:proofErr w:type="spellStart"/>
            <w:r w:rsidR="00B82375" w:rsidRPr="00CD04DD">
              <w:rPr>
                <w:rFonts w:ascii="Times New Roman" w:hAnsi="Times New Roman"/>
                <w:sz w:val="24"/>
                <w:szCs w:val="24"/>
              </w:rPr>
              <w:t>Bharatiya</w:t>
            </w:r>
            <w:proofErr w:type="spellEnd"/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2375" w:rsidRPr="00CD04DD">
              <w:rPr>
                <w:rFonts w:ascii="Times New Roman" w:hAnsi="Times New Roman"/>
                <w:sz w:val="24"/>
                <w:szCs w:val="24"/>
              </w:rPr>
              <w:t>Sakshya</w:t>
            </w:r>
            <w:proofErr w:type="spellEnd"/>
            <w:r w:rsidR="00B82375" w:rsidRPr="00CD04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2375" w:rsidRPr="00CD04DD">
              <w:rPr>
                <w:rFonts w:ascii="Times New Roman" w:hAnsi="Times New Roman"/>
                <w:sz w:val="24"/>
                <w:szCs w:val="24"/>
              </w:rPr>
              <w:t>Adhiniyam</w:t>
            </w:r>
            <w:proofErr w:type="spellEnd"/>
            <w:r w:rsidR="00B82375" w:rsidRPr="00CD04DD">
              <w:rPr>
                <w:rFonts w:ascii="Times New Roman" w:hAnsi="Times New Roman"/>
                <w:sz w:val="24"/>
                <w:szCs w:val="24"/>
              </w:rPr>
              <w:t>, 2023.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5436F5D2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5DD9455" w14:textId="048A93D2" w:rsidR="004F2772" w:rsidRPr="00293D36" w:rsidRDefault="00B82375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10+10</w:t>
            </w:r>
            <w:r w:rsidR="004F277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5AFB6406" w:rsidR="004F2772" w:rsidRPr="00293D36" w:rsidRDefault="00476DC1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  <w:r w:rsidR="004F277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06EC8BC6" w:rsidR="004F2772" w:rsidRDefault="004F2772" w:rsidP="004F27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D09C1" w14:textId="77777777" w:rsidR="009E4A7B" w:rsidRDefault="009E4A7B">
      <w:pPr>
        <w:spacing w:line="240" w:lineRule="auto"/>
      </w:pPr>
      <w:r>
        <w:separator/>
      </w:r>
    </w:p>
  </w:endnote>
  <w:endnote w:type="continuationSeparator" w:id="0">
    <w:p w14:paraId="16B3FF07" w14:textId="77777777" w:rsidR="009E4A7B" w:rsidRDefault="009E4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42E6D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42E6D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ACD85" w14:textId="77777777" w:rsidR="009E4A7B" w:rsidRDefault="009E4A7B">
      <w:pPr>
        <w:spacing w:after="0"/>
      </w:pPr>
      <w:r>
        <w:separator/>
      </w:r>
    </w:p>
  </w:footnote>
  <w:footnote w:type="continuationSeparator" w:id="0">
    <w:p w14:paraId="7328BADA" w14:textId="77777777" w:rsidR="009E4A7B" w:rsidRDefault="009E4A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6D54"/>
    <w:multiLevelType w:val="hybridMultilevel"/>
    <w:tmpl w:val="8EFCFD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36E6"/>
    <w:multiLevelType w:val="multilevel"/>
    <w:tmpl w:val="F88A7F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B82C53"/>
    <w:multiLevelType w:val="hybridMultilevel"/>
    <w:tmpl w:val="6CAEC5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337181"/>
    <w:multiLevelType w:val="hybridMultilevel"/>
    <w:tmpl w:val="0CEC36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C718A"/>
    <w:multiLevelType w:val="hybridMultilevel"/>
    <w:tmpl w:val="BFCC8C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B51FD"/>
    <w:multiLevelType w:val="hybridMultilevel"/>
    <w:tmpl w:val="0AC697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A168F"/>
    <w:multiLevelType w:val="hybridMultilevel"/>
    <w:tmpl w:val="5B9E3A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9647F"/>
    <w:multiLevelType w:val="hybridMultilevel"/>
    <w:tmpl w:val="538CAC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73BEA"/>
    <w:multiLevelType w:val="hybridMultilevel"/>
    <w:tmpl w:val="A44A1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3B4E75"/>
    <w:multiLevelType w:val="hybridMultilevel"/>
    <w:tmpl w:val="83C80D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3">
    <w:nsid w:val="498C53CD"/>
    <w:multiLevelType w:val="multilevel"/>
    <w:tmpl w:val="0E80C3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7956A7"/>
    <w:multiLevelType w:val="multilevel"/>
    <w:tmpl w:val="704A53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70D88"/>
    <w:multiLevelType w:val="hybridMultilevel"/>
    <w:tmpl w:val="2F367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EB5062"/>
    <w:multiLevelType w:val="hybridMultilevel"/>
    <w:tmpl w:val="B30A3D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F265E6"/>
    <w:multiLevelType w:val="multilevel"/>
    <w:tmpl w:val="F88A7F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234B6"/>
    <w:multiLevelType w:val="hybridMultilevel"/>
    <w:tmpl w:val="7C9256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2B066D"/>
    <w:multiLevelType w:val="hybridMultilevel"/>
    <w:tmpl w:val="193091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20"/>
  </w:num>
  <w:num w:numId="4">
    <w:abstractNumId w:val="19"/>
  </w:num>
  <w:num w:numId="5">
    <w:abstractNumId w:val="3"/>
  </w:num>
  <w:num w:numId="6">
    <w:abstractNumId w:val="6"/>
  </w:num>
  <w:num w:numId="7">
    <w:abstractNumId w:val="4"/>
  </w:num>
  <w:num w:numId="8">
    <w:abstractNumId w:val="18"/>
  </w:num>
  <w:num w:numId="9">
    <w:abstractNumId w:val="21"/>
  </w:num>
  <w:num w:numId="10">
    <w:abstractNumId w:val="8"/>
  </w:num>
  <w:num w:numId="11">
    <w:abstractNumId w:val="9"/>
  </w:num>
  <w:num w:numId="12">
    <w:abstractNumId w:val="15"/>
  </w:num>
  <w:num w:numId="13">
    <w:abstractNumId w:val="17"/>
  </w:num>
  <w:num w:numId="14">
    <w:abstractNumId w:val="16"/>
  </w:num>
  <w:num w:numId="15">
    <w:abstractNumId w:val="1"/>
  </w:num>
  <w:num w:numId="16">
    <w:abstractNumId w:val="0"/>
  </w:num>
  <w:num w:numId="17">
    <w:abstractNumId w:val="5"/>
  </w:num>
  <w:num w:numId="18">
    <w:abstractNumId w:val="7"/>
  </w:num>
  <w:num w:numId="19">
    <w:abstractNumId w:val="2"/>
  </w:num>
  <w:num w:numId="20">
    <w:abstractNumId w:val="11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23C5"/>
    <w:rsid w:val="0010425F"/>
    <w:rsid w:val="00107837"/>
    <w:rsid w:val="001238BC"/>
    <w:rsid w:val="00126E00"/>
    <w:rsid w:val="001336A7"/>
    <w:rsid w:val="00136F6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55D5"/>
    <w:rsid w:val="00181331"/>
    <w:rsid w:val="00182CC4"/>
    <w:rsid w:val="00184C04"/>
    <w:rsid w:val="001877EF"/>
    <w:rsid w:val="001905BF"/>
    <w:rsid w:val="00191B3A"/>
    <w:rsid w:val="0019389E"/>
    <w:rsid w:val="00194CBC"/>
    <w:rsid w:val="001A6271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5E74"/>
    <w:rsid w:val="001F14B1"/>
    <w:rsid w:val="001F4F78"/>
    <w:rsid w:val="00201872"/>
    <w:rsid w:val="00202DC6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399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05A0"/>
    <w:rsid w:val="00272210"/>
    <w:rsid w:val="002739DF"/>
    <w:rsid w:val="002756D6"/>
    <w:rsid w:val="00281CDC"/>
    <w:rsid w:val="00283030"/>
    <w:rsid w:val="002853AE"/>
    <w:rsid w:val="00293D36"/>
    <w:rsid w:val="00295DD3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59C8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6439"/>
    <w:rsid w:val="00340A71"/>
    <w:rsid w:val="0034268F"/>
    <w:rsid w:val="00344137"/>
    <w:rsid w:val="00347B35"/>
    <w:rsid w:val="0035383F"/>
    <w:rsid w:val="00353F3A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47DD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6DC1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E6561"/>
    <w:rsid w:val="004F2772"/>
    <w:rsid w:val="004F4DA9"/>
    <w:rsid w:val="00502764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77AC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3F19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37E8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1F76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78"/>
    <w:rsid w:val="006D4085"/>
    <w:rsid w:val="006E2B92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3607"/>
    <w:rsid w:val="008142C1"/>
    <w:rsid w:val="00830EDA"/>
    <w:rsid w:val="00837035"/>
    <w:rsid w:val="00837F3A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D73E7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589A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4A7B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3B19"/>
    <w:rsid w:val="00A6661A"/>
    <w:rsid w:val="00A7478D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2ED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6316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2375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387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7F13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2469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271F"/>
    <w:rsid w:val="00DA454F"/>
    <w:rsid w:val="00DA4EC4"/>
    <w:rsid w:val="00DB0FD6"/>
    <w:rsid w:val="00DC5997"/>
    <w:rsid w:val="00DC5B1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2D5B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2E6D"/>
    <w:rsid w:val="00E4488A"/>
    <w:rsid w:val="00E458A8"/>
    <w:rsid w:val="00E470AA"/>
    <w:rsid w:val="00E5217D"/>
    <w:rsid w:val="00E550F6"/>
    <w:rsid w:val="00E55ABF"/>
    <w:rsid w:val="00E61818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2554"/>
    <w:rsid w:val="00ED3D23"/>
    <w:rsid w:val="00ED4F04"/>
    <w:rsid w:val="00EE3BEE"/>
    <w:rsid w:val="00EE596E"/>
    <w:rsid w:val="00EE5FE1"/>
    <w:rsid w:val="00EE641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3574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B82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2BFB7-5552-4AD6-A2D3-89495823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174</cp:revision>
  <cp:lastPrinted>2025-01-07T07:45:00Z</cp:lastPrinted>
  <dcterms:created xsi:type="dcterms:W3CDTF">2022-12-06T08:34:00Z</dcterms:created>
  <dcterms:modified xsi:type="dcterms:W3CDTF">2025-01-07T07:48:00Z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