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7867462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A46EA8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E10F92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B8AEED8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A46EA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/ 0</w:t>
            </w:r>
            <w:r w:rsidR="00A46EA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/ </w:t>
            </w:r>
            <w:r w:rsidR="00A46EA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A46EA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46EA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0am – </w:t>
            </w:r>
            <w:r w:rsidR="00A46EA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46EA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AC5603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A0C0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A0C07" w:rsidRPr="00DA0C0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4B263C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9715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52F7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 LL.B/ BBA LL.B</w:t>
            </w:r>
            <w:bookmarkStart w:id="0" w:name="_GoBack"/>
            <w:bookmarkEnd w:id="0"/>
            <w:r w:rsidR="0009715A" w:rsidRPr="00DA0C0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 B.COM LL.B (HONS.)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E6026A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9715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715A" w:rsidRPr="00DA0C0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LAW3</w:t>
            </w:r>
            <w:r w:rsidR="00C471C0" w:rsidRPr="00DA0C0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A83AF5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09715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71C0" w:rsidRPr="00DA0C0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AIR AND SPACE LAW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BA3ED7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9715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471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14:paraId="3AB6E887" w14:textId="3F163D9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9715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4BC034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A0C0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586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3"/>
        <w:gridCol w:w="1221"/>
        <w:gridCol w:w="1479"/>
        <w:gridCol w:w="1479"/>
        <w:gridCol w:w="1479"/>
        <w:gridCol w:w="1737"/>
        <w:gridCol w:w="1698"/>
      </w:tblGrid>
      <w:tr w:rsidR="00C471C0" w14:paraId="7B8EC1C9" w14:textId="3CFCB686" w:rsidTr="00C471C0">
        <w:trPr>
          <w:trHeight w:val="550"/>
        </w:trPr>
        <w:tc>
          <w:tcPr>
            <w:tcW w:w="1493" w:type="dxa"/>
            <w:vAlign w:val="center"/>
          </w:tcPr>
          <w:p w14:paraId="726B4181" w14:textId="1AA4384B" w:rsidR="00C471C0" w:rsidRDefault="00C471C0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221" w:type="dxa"/>
            <w:vAlign w:val="center"/>
          </w:tcPr>
          <w:p w14:paraId="17BCF870" w14:textId="109FA460" w:rsidR="00C471C0" w:rsidRDefault="00C471C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479" w:type="dxa"/>
            <w:vAlign w:val="center"/>
          </w:tcPr>
          <w:p w14:paraId="47939CDB" w14:textId="0D72F84E" w:rsidR="00C471C0" w:rsidRDefault="00C471C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479" w:type="dxa"/>
            <w:vAlign w:val="center"/>
          </w:tcPr>
          <w:p w14:paraId="04F551EF" w14:textId="33057F20" w:rsidR="00C471C0" w:rsidRDefault="00C471C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479" w:type="dxa"/>
            <w:vAlign w:val="center"/>
          </w:tcPr>
          <w:p w14:paraId="5254DF2B" w14:textId="0A592AFA" w:rsidR="00C471C0" w:rsidRDefault="00C471C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737" w:type="dxa"/>
            <w:vAlign w:val="center"/>
          </w:tcPr>
          <w:p w14:paraId="1D0247F2" w14:textId="7D863CD3" w:rsidR="00C471C0" w:rsidRDefault="00C471C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  <w:tc>
          <w:tcPr>
            <w:tcW w:w="1698" w:type="dxa"/>
          </w:tcPr>
          <w:p w14:paraId="45F313C9" w14:textId="52B871EE" w:rsidR="00C471C0" w:rsidRDefault="00C471C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CO6</w:t>
            </w:r>
          </w:p>
        </w:tc>
      </w:tr>
      <w:tr w:rsidR="00C471C0" w14:paraId="78F21A09" w14:textId="194AEF72" w:rsidTr="00C471C0">
        <w:trPr>
          <w:trHeight w:val="550"/>
        </w:trPr>
        <w:tc>
          <w:tcPr>
            <w:tcW w:w="1493" w:type="dxa"/>
            <w:vAlign w:val="center"/>
          </w:tcPr>
          <w:p w14:paraId="2EAD4909" w14:textId="7E9B13C9" w:rsidR="00C471C0" w:rsidRDefault="00C471C0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221" w:type="dxa"/>
          </w:tcPr>
          <w:p w14:paraId="48D7B26A" w14:textId="0AFB3BAE" w:rsidR="00C471C0" w:rsidRDefault="00C471C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1479" w:type="dxa"/>
          </w:tcPr>
          <w:p w14:paraId="15E465AD" w14:textId="568BA877" w:rsidR="00C471C0" w:rsidRDefault="00C471C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14:paraId="761D572A" w14:textId="6AAFD5C5" w:rsidR="00C471C0" w:rsidRDefault="00C471C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14:paraId="5EA5E4BC" w14:textId="43C1BDC1" w:rsidR="00C471C0" w:rsidRDefault="00C471C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57</w:t>
            </w:r>
          </w:p>
        </w:tc>
        <w:tc>
          <w:tcPr>
            <w:tcW w:w="1737" w:type="dxa"/>
          </w:tcPr>
          <w:p w14:paraId="1D44F184" w14:textId="6AE09CB5" w:rsidR="00C471C0" w:rsidRDefault="00C471C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698" w:type="dxa"/>
          </w:tcPr>
          <w:p w14:paraId="6AD0B1B1" w14:textId="0CD45F8D" w:rsidR="00C471C0" w:rsidRDefault="00C471C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7384"/>
        <w:gridCol w:w="983"/>
        <w:gridCol w:w="831"/>
        <w:gridCol w:w="861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495897" w:rsidRPr="00293D36" w14:paraId="3026CF88" w14:textId="12BDD24F" w:rsidTr="00495897">
        <w:trPr>
          <w:trHeight w:val="507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495897" w:rsidRPr="00293D36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C94AB1B" w:rsidR="00495897" w:rsidRPr="00DA0C07" w:rsidRDefault="00A46EA8" w:rsidP="0049589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Outline</w:t>
            </w:r>
            <w:r w:rsidR="00495897" w:rsidRPr="00DA0C07">
              <w:rPr>
                <w:rFonts w:ascii="Cambria" w:hAnsi="Cambria" w:cstheme="minorHAnsi"/>
                <w:sz w:val="24"/>
                <w:szCs w:val="24"/>
              </w:rPr>
              <w:t xml:space="preserve"> the benefits available to the active members of IATA?</w:t>
            </w:r>
          </w:p>
        </w:tc>
        <w:tc>
          <w:tcPr>
            <w:tcW w:w="9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29925D6F" w:rsidR="00495897" w:rsidRPr="00D307C6" w:rsidRDefault="00495897" w:rsidP="004958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3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A994AFC" w:rsidR="00495897" w:rsidRPr="00293D36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642A9F4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95897" w:rsidRPr="00293D36" w14:paraId="1B8E9375" w14:textId="1F264430" w:rsidTr="00495897">
        <w:trPr>
          <w:trHeight w:val="522"/>
        </w:trPr>
        <w:tc>
          <w:tcPr>
            <w:tcW w:w="7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495897" w:rsidRPr="00293D36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ACB3477" w:rsidR="00495897" w:rsidRPr="00DA0C07" w:rsidRDefault="00495897" w:rsidP="0049589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 xml:space="preserve">Examine </w:t>
            </w:r>
            <w:r w:rsidR="00A46EA8" w:rsidRPr="00DA0C07">
              <w:rPr>
                <w:rFonts w:ascii="Cambria" w:hAnsi="Cambria" w:cstheme="minorHAnsi"/>
                <w:sz w:val="24"/>
                <w:szCs w:val="24"/>
              </w:rPr>
              <w:t xml:space="preserve">in brief </w:t>
            </w:r>
            <w:r w:rsidRPr="00DA0C07">
              <w:rPr>
                <w:rFonts w:ascii="Cambria" w:hAnsi="Cambria" w:cstheme="minorHAnsi"/>
                <w:sz w:val="24"/>
                <w:szCs w:val="24"/>
              </w:rPr>
              <w:t>the principle of sovereignty enumerated under the Chicago Convention.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7DB36AFB" w:rsidR="00495897" w:rsidRPr="00D307C6" w:rsidRDefault="00495897" w:rsidP="004958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5655C9D" w:rsidR="00495897" w:rsidRPr="00293D36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68086F6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95897" w:rsidRPr="00293D36" w14:paraId="5F84D05D" w14:textId="58E55F22" w:rsidTr="00495897">
        <w:trPr>
          <w:trHeight w:val="507"/>
        </w:trPr>
        <w:tc>
          <w:tcPr>
            <w:tcW w:w="7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495897" w:rsidRPr="00293D36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BC6504E" w:rsidR="00495897" w:rsidRPr="00DA0C07" w:rsidRDefault="00495897" w:rsidP="00495897">
            <w:pPr>
              <w:tabs>
                <w:tab w:val="left" w:pos="876"/>
              </w:tabs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Discuss the need and advantages in regulating civil aviation.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A1FBCFD" w:rsidR="00495897" w:rsidRPr="00D307C6" w:rsidRDefault="00495897" w:rsidP="004958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C9EDEA1" w:rsidR="00495897" w:rsidRPr="00293D36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1598F54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CO1,2</w:t>
            </w:r>
          </w:p>
        </w:tc>
      </w:tr>
      <w:tr w:rsidR="00495897" w:rsidRPr="00293D36" w14:paraId="6BA36377" w14:textId="1F5DC35D" w:rsidTr="00495897">
        <w:trPr>
          <w:trHeight w:val="522"/>
        </w:trPr>
        <w:tc>
          <w:tcPr>
            <w:tcW w:w="7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495897" w:rsidRPr="00293D36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3DC6035" w:rsidR="00495897" w:rsidRPr="00DA0C07" w:rsidRDefault="00495897" w:rsidP="00495897">
            <w:pPr>
              <w:tabs>
                <w:tab w:val="left" w:pos="456"/>
              </w:tabs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Differentiate between greenfield airports and brownfield airports.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33905EEB" w:rsidR="00495897" w:rsidRPr="00D307C6" w:rsidRDefault="00495897" w:rsidP="004958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5CFC065" w:rsidR="00495897" w:rsidRPr="00293D36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DF225A5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95897" w:rsidRPr="00293D36" w14:paraId="2B1E1DFD" w14:textId="3F03E895" w:rsidTr="00495897">
        <w:trPr>
          <w:trHeight w:val="507"/>
        </w:trPr>
        <w:tc>
          <w:tcPr>
            <w:tcW w:w="7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495897" w:rsidRPr="00293D36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D9B0A1A" w:rsidR="00495897" w:rsidRPr="00DA0C07" w:rsidRDefault="00495897" w:rsidP="00495897">
            <w:pPr>
              <w:tabs>
                <w:tab w:val="left" w:pos="432"/>
              </w:tabs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 xml:space="preserve">Outline the arguments in </w:t>
            </w:r>
            <w:proofErr w:type="spellStart"/>
            <w:r w:rsidRPr="00DA0C07">
              <w:rPr>
                <w:rFonts w:ascii="Cambria" w:hAnsi="Cambria" w:cstheme="minorHAnsi"/>
                <w:sz w:val="24"/>
                <w:szCs w:val="24"/>
              </w:rPr>
              <w:t>favour</w:t>
            </w:r>
            <w:proofErr w:type="spellEnd"/>
            <w:r w:rsidRPr="00DA0C07">
              <w:rPr>
                <w:rFonts w:ascii="Cambria" w:hAnsi="Cambria" w:cstheme="minorHAnsi"/>
                <w:sz w:val="24"/>
                <w:szCs w:val="24"/>
              </w:rPr>
              <w:t xml:space="preserve"> of, and against privatization of aviation.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5D25425" w:rsidR="00495897" w:rsidRPr="00D307C6" w:rsidRDefault="00495897" w:rsidP="004958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1E14D0D7" w:rsidR="00495897" w:rsidRPr="00293D36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2824ABF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95897" w:rsidRPr="00293D36" w14:paraId="01AC2B5E" w14:textId="77777777" w:rsidTr="00495897">
        <w:trPr>
          <w:trHeight w:val="507"/>
        </w:trPr>
        <w:tc>
          <w:tcPr>
            <w:tcW w:w="7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5625E051" w:rsidR="00495897" w:rsidRPr="00DA0C07" w:rsidRDefault="00495897" w:rsidP="0049589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Outline the principles that formed the basis of the Paris Convention, 1919.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0C544" w14:textId="00F88D2E" w:rsidR="00495897" w:rsidRPr="00D307C6" w:rsidRDefault="00495897" w:rsidP="004958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C7AB9" w14:textId="1F9C7C08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2CEDD1" w14:textId="6213DF40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95897" w:rsidRPr="00293D36" w14:paraId="603AD316" w14:textId="77777777" w:rsidTr="00495897">
        <w:trPr>
          <w:trHeight w:val="507"/>
        </w:trPr>
        <w:tc>
          <w:tcPr>
            <w:tcW w:w="7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680C7AE" w:rsidR="00495897" w:rsidRPr="00DA0C07" w:rsidRDefault="00D50F89" w:rsidP="00495897">
            <w:pPr>
              <w:tabs>
                <w:tab w:val="left" w:pos="624"/>
              </w:tabs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bCs/>
                <w:sz w:val="24"/>
                <w:szCs w:val="24"/>
              </w:rPr>
              <w:t xml:space="preserve">Examine </w:t>
            </w:r>
            <w:r w:rsidR="00A46EA8" w:rsidRPr="00DA0C07">
              <w:rPr>
                <w:rFonts w:ascii="Cambria" w:hAnsi="Cambria" w:cstheme="minorHAnsi"/>
                <w:bCs/>
                <w:sz w:val="24"/>
                <w:szCs w:val="24"/>
              </w:rPr>
              <w:t xml:space="preserve">in brief </w:t>
            </w:r>
            <w:r w:rsidRPr="00DA0C07">
              <w:rPr>
                <w:rFonts w:ascii="Cambria" w:hAnsi="Cambria" w:cstheme="minorHAnsi"/>
                <w:bCs/>
                <w:sz w:val="24"/>
                <w:szCs w:val="24"/>
              </w:rPr>
              <w:t xml:space="preserve">the significance of the </w:t>
            </w:r>
            <w:r w:rsidR="00A46EA8" w:rsidRPr="00DA0C07">
              <w:rPr>
                <w:rFonts w:ascii="Cambria" w:hAnsi="Cambria" w:cstheme="minorHAnsi"/>
                <w:bCs/>
                <w:sz w:val="24"/>
                <w:szCs w:val="24"/>
              </w:rPr>
              <w:t>Registration</w:t>
            </w:r>
            <w:r w:rsidRPr="00DA0C07">
              <w:rPr>
                <w:rFonts w:ascii="Cambria" w:hAnsi="Cambria" w:cstheme="minorHAnsi"/>
                <w:bCs/>
                <w:sz w:val="24"/>
                <w:szCs w:val="24"/>
              </w:rPr>
              <w:t xml:space="preserve"> Agreement.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495897" w:rsidRPr="00D307C6" w:rsidRDefault="00495897" w:rsidP="004958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514F1406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70DD4F64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 </w:t>
            </w:r>
            <w:r w:rsidR="00D50F8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495897" w:rsidRPr="00293D36" w14:paraId="04BA4D63" w14:textId="77777777" w:rsidTr="00495897">
        <w:trPr>
          <w:trHeight w:val="507"/>
        </w:trPr>
        <w:tc>
          <w:tcPr>
            <w:tcW w:w="7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467C92A" w:rsidR="00495897" w:rsidRPr="00DA0C07" w:rsidRDefault="00D50F89" w:rsidP="00495897">
            <w:pPr>
              <w:tabs>
                <w:tab w:val="left" w:pos="708"/>
              </w:tabs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bCs/>
                <w:sz w:val="24"/>
                <w:szCs w:val="24"/>
              </w:rPr>
              <w:t>Identify the challenges posed due to privatization of outer space activities.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495897" w:rsidRPr="00D307C6" w:rsidRDefault="00495897" w:rsidP="004958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61C01134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3C0FA21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 </w:t>
            </w:r>
            <w:r w:rsidR="00D50F89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</w:tr>
      <w:tr w:rsidR="00495897" w:rsidRPr="00293D36" w14:paraId="2B1948B6" w14:textId="77777777" w:rsidTr="00495897">
        <w:trPr>
          <w:trHeight w:val="507"/>
        </w:trPr>
        <w:tc>
          <w:tcPr>
            <w:tcW w:w="7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23B0A60E" w:rsidR="00495897" w:rsidRPr="00DA0C07" w:rsidRDefault="00D50F89" w:rsidP="0049589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bCs/>
                <w:sz w:val="24"/>
                <w:szCs w:val="24"/>
              </w:rPr>
              <w:t>Differentiate between reflecting and reshaping statutes in outer space jurisprudence.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495897" w:rsidRPr="00D307C6" w:rsidRDefault="00495897" w:rsidP="004958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2060EEBB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D4429E3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 </w:t>
            </w:r>
            <w:r w:rsidR="00D50F89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</w:tr>
      <w:tr w:rsidR="00495897" w:rsidRPr="00293D36" w14:paraId="725634CF" w14:textId="77777777" w:rsidTr="00495897">
        <w:trPr>
          <w:trHeight w:val="507"/>
        </w:trPr>
        <w:tc>
          <w:tcPr>
            <w:tcW w:w="7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3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195D444" w:rsidR="00495897" w:rsidRPr="00DA0C07" w:rsidRDefault="00D50F89" w:rsidP="00495897">
            <w:pPr>
              <w:tabs>
                <w:tab w:val="left" w:pos="192"/>
              </w:tabs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bCs/>
                <w:sz w:val="24"/>
                <w:szCs w:val="24"/>
              </w:rPr>
              <w:t>Examine the role of the UNCOPUOS.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495897" w:rsidRPr="00D307C6" w:rsidRDefault="00495897" w:rsidP="0049589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1B3328E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15293A6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 </w:t>
            </w:r>
            <w:r w:rsidR="00D50F8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87"/>
        <w:gridCol w:w="1231"/>
        <w:gridCol w:w="172"/>
        <w:gridCol w:w="537"/>
        <w:gridCol w:w="702"/>
      </w:tblGrid>
      <w:tr w:rsidR="00D8462B" w:rsidRPr="00293D36" w14:paraId="64D5F967" w14:textId="09AB0D70" w:rsidTr="000E07E0">
        <w:trPr>
          <w:trHeight w:val="318"/>
        </w:trPr>
        <w:tc>
          <w:tcPr>
            <w:tcW w:w="10774" w:type="dxa"/>
            <w:gridSpan w:val="7"/>
            <w:tcBorders>
              <w:bottom w:val="single" w:sz="12" w:space="0" w:color="auto"/>
            </w:tcBorders>
          </w:tcPr>
          <w:p w14:paraId="022F48F3" w14:textId="00A89133" w:rsidR="00D307C6" w:rsidRPr="00293D3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495897" w:rsidRPr="00293D36" w14:paraId="3AEB7291" w14:textId="6B0E3BC9" w:rsidTr="000E07E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495897" w:rsidRPr="00293D36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C07FE" w14:textId="57F12A4A" w:rsidR="00495897" w:rsidRPr="00DA0C07" w:rsidRDefault="00495897" w:rsidP="00495897">
            <w:pPr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Examine the role of ICAO in governing civil aviation.</w:t>
            </w:r>
          </w:p>
        </w:tc>
        <w:tc>
          <w:tcPr>
            <w:tcW w:w="123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169AB10B" w:rsidR="00495897" w:rsidRPr="00293D36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2A75B63" w:rsidR="00495897" w:rsidRPr="00293D36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603A08B" w:rsidR="00495897" w:rsidRDefault="00495897" w:rsidP="0049589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95897" w:rsidRPr="00293D36" w14:paraId="51698AB6" w14:textId="1FD3CD7D" w:rsidTr="000E07E0">
        <w:trPr>
          <w:trHeight w:val="142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495897" w:rsidRPr="00921AB7" w:rsidRDefault="00495897" w:rsidP="0049589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921AB7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D50F89" w:rsidRPr="00293D36" w14:paraId="37393AEC" w14:textId="6E25860C" w:rsidTr="000E07E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D50F89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D50F89" w:rsidRPr="00293D36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9C65360" w:rsidR="00D50F89" w:rsidRPr="00DA0C07" w:rsidRDefault="00D50F89" w:rsidP="00DA0C0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Examine the role of the Airport Authority of India in managing Indian airports.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C4D04DA" w:rsidR="00D50F89" w:rsidRPr="00293D36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969AAB9" w:rsidR="00D50F89" w:rsidRPr="00293D36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388FACE" w:rsidR="00D50F89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50F89" w:rsidRPr="00293D36" w14:paraId="13FA2CD2" w14:textId="73B56C51" w:rsidTr="000E07E0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50F89" w:rsidRPr="00293D36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50F89" w:rsidRPr="00293D36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50F89" w:rsidRPr="00921AB7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50F89" w:rsidRPr="00293D36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50F89" w:rsidRPr="00293D36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50F89" w:rsidRPr="00293D36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50F89" w:rsidRPr="00293D36" w14:paraId="75991A19" w14:textId="4F6627AE" w:rsidTr="000E07E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D50F89" w:rsidRPr="00293D36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D50F89" w:rsidRPr="00293D36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00FEF7F1" w:rsidR="00D50F89" w:rsidRPr="00DA0C07" w:rsidRDefault="00D50F89" w:rsidP="00DA0C0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DA0C07">
              <w:rPr>
                <w:rFonts w:ascii="Cambria" w:hAnsi="Cambria" w:cstheme="minorHAnsi"/>
                <w:sz w:val="24"/>
                <w:szCs w:val="24"/>
              </w:rPr>
              <w:t>Analyse</w:t>
            </w:r>
            <w:proofErr w:type="spellEnd"/>
            <w:r w:rsidRPr="00DA0C07">
              <w:rPr>
                <w:rFonts w:ascii="Cambria" w:hAnsi="Cambria" w:cstheme="minorHAnsi"/>
                <w:sz w:val="24"/>
                <w:szCs w:val="24"/>
              </w:rPr>
              <w:t xml:space="preserve"> the significance of the Naresh Chandra Committee report in developing civil aviation in India.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75116" w14:textId="29848EBE" w:rsidR="00D50F89" w:rsidRPr="00293D36" w:rsidRDefault="00921AB7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50F89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25C7592B" w:rsidR="00D50F89" w:rsidRPr="00293D36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668E181" w:rsidR="00D50F89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50F89" w:rsidRPr="00293D36" w14:paraId="4CA3C357" w14:textId="3302ACC2" w:rsidTr="000E07E0">
        <w:tc>
          <w:tcPr>
            <w:tcW w:w="1077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50F89" w:rsidRDefault="00D50F89" w:rsidP="00D50F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D50F89" w:rsidRPr="00293D36" w14:paraId="7AE28738" w14:textId="089F6912" w:rsidTr="000E07E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D50F89" w:rsidRPr="00293D36" w:rsidRDefault="00D50F89" w:rsidP="00DA0C0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D50F89" w:rsidRPr="00387FD2" w:rsidRDefault="00D50F89" w:rsidP="00DA0C0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3C9863BB" w:rsidR="00D50F89" w:rsidRPr="00DA0C07" w:rsidRDefault="00D50F89" w:rsidP="00DA0C0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 xml:space="preserve">Examine the scope of liability under the Liability Convention. 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6C9CD16F" w:rsidR="00D50F89" w:rsidRPr="00293D36" w:rsidRDefault="00D50F89" w:rsidP="000E07E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0E07E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6BB497EA" w:rsidR="00D50F89" w:rsidRPr="00293D36" w:rsidRDefault="00D50F89" w:rsidP="00DA0C0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0B9AA177" w:rsidR="00D50F89" w:rsidRDefault="000E07E0" w:rsidP="00DA0C0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50F8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387FD2" w:rsidRPr="00293D36" w14:paraId="06AACFFA" w14:textId="3892CA96" w:rsidTr="0047078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12FA0CD3" w:rsidR="00387FD2" w:rsidRPr="000E07E0" w:rsidRDefault="00D50F89" w:rsidP="000E07E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E07E0">
              <w:rPr>
                <w:rFonts w:ascii="Cambria" w:hAnsi="Cambria" w:cstheme="minorHAnsi"/>
                <w:sz w:val="24"/>
                <w:szCs w:val="24"/>
              </w:rPr>
              <w:t>Analyse</w:t>
            </w:r>
            <w:proofErr w:type="spellEnd"/>
            <w:r w:rsidRPr="000E07E0">
              <w:rPr>
                <w:rFonts w:ascii="Cambria" w:hAnsi="Cambria" w:cstheme="minorHAnsi"/>
                <w:sz w:val="24"/>
                <w:szCs w:val="24"/>
              </w:rPr>
              <w:t xml:space="preserve"> the scope of state responsibility under Art.VI of the Outer Space Treaty. Examine the relevance of the same in light of commercial outer space activities.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2A8D5" w14:textId="3A6A645E" w:rsidR="008117CE" w:rsidRDefault="001A6DD4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5+5= 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285FFF6E" w14:textId="2D73E2C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0A34EF4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03C4AD2E" w:rsidR="00387FD2" w:rsidRDefault="00387FD2" w:rsidP="004707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50F8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47078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32BBEFE9" w:rsidR="00C86FB9" w:rsidRPr="000E07E0" w:rsidRDefault="00C86FB9" w:rsidP="000E07E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E07E0">
              <w:rPr>
                <w:rFonts w:ascii="Cambria" w:hAnsi="Cambria" w:cstheme="minorHAnsi"/>
                <w:sz w:val="24"/>
                <w:szCs w:val="24"/>
              </w:rPr>
              <w:t>Evaluate the legal and economic implications of airline privatization and consolidation.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58DA2A53" w:rsidR="00387FD2" w:rsidRPr="00293D36" w:rsidRDefault="008117CE" w:rsidP="004707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470780">
              <w:rPr>
                <w:rFonts w:ascii="Cambria" w:hAnsi="Cambria" w:cstheme="minorHAnsi"/>
                <w:b/>
                <w:sz w:val="24"/>
                <w:szCs w:val="24"/>
              </w:rPr>
              <w:t xml:space="preserve"> M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BCC7FF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4496A8C4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86FB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75654894" w14:textId="04D8AE16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60"/>
        <w:gridCol w:w="851"/>
      </w:tblGrid>
      <w:tr w:rsidR="009144EB" w:rsidRPr="00293D36" w14:paraId="63EB4225" w14:textId="77777777" w:rsidTr="00DA0C0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A0C0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A0C0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69EA892B" w:rsidR="009144EB" w:rsidRPr="00DA0C07" w:rsidRDefault="00C86FB9" w:rsidP="00DA0C0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Examine the governance framework in India for regulating the Indian outer space industry.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A260" w14:textId="09E76546" w:rsidR="008117CE" w:rsidRPr="00DA0C07" w:rsidRDefault="008117CE" w:rsidP="00DA0C0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265E59" w:rsidRPr="00DA0C07">
              <w:rPr>
                <w:rFonts w:ascii="Cambria" w:hAnsi="Cambria" w:cstheme="minorHAnsi"/>
                <w:sz w:val="24"/>
                <w:szCs w:val="24"/>
              </w:rPr>
              <w:t>5</w:t>
            </w:r>
          </w:p>
          <w:p w14:paraId="3D585599" w14:textId="26A5DD19" w:rsidR="009144EB" w:rsidRPr="00DA0C07" w:rsidRDefault="008117CE" w:rsidP="00DA0C0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5F56D6CA" w:rsidR="009144EB" w:rsidRPr="00C74561" w:rsidRDefault="009144EB" w:rsidP="00DA0C0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7456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 w:rsidRPr="00C7456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5B0251AF" w:rsidR="009144EB" w:rsidRDefault="009144EB" w:rsidP="00DA0C0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E771B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C86FB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DA0C0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A0C0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DA0C07" w:rsidRDefault="009144EB" w:rsidP="00DA0C0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0C88C396" w:rsidR="009144EB" w:rsidRPr="00DA0C07" w:rsidRDefault="005014C5" w:rsidP="00DA0C0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Critically examine the legal mechanisms for managing aviation disputes in the context of increasing international tensions.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8E0FC" w14:textId="159D9EAA" w:rsidR="008117CE" w:rsidRPr="00DA0C07" w:rsidRDefault="00265E59" w:rsidP="00DA0C0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15</w:t>
            </w:r>
          </w:p>
          <w:p w14:paraId="2CA8E757" w14:textId="14EC063B" w:rsidR="009144EB" w:rsidRPr="00DA0C07" w:rsidRDefault="008117CE" w:rsidP="00DA0C0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217AE0F8" w:rsidR="009144EB" w:rsidRPr="00C74561" w:rsidRDefault="009144EB" w:rsidP="00DA0C0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7456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 w:rsidRPr="00C7456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3B75E618" w:rsidR="009144EB" w:rsidRPr="00C74561" w:rsidRDefault="009144EB" w:rsidP="00DA0C0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7456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014C5" w:rsidRPr="00C745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5AB76BA8" w14:textId="77777777" w:rsidR="00575CF8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60"/>
        <w:gridCol w:w="851"/>
      </w:tblGrid>
      <w:tr w:rsidR="009144EB" w:rsidRPr="00293D36" w14:paraId="2A94AD1F" w14:textId="77777777" w:rsidTr="00DA0C0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32D5E4D5" w:rsidR="009144EB" w:rsidRPr="00DA0C07" w:rsidRDefault="005014C5" w:rsidP="00DA0C0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Examine the potential environmental and legal implications of commercial space tourism. Critically evaluate the existing regulatory mechanisms and propose a comprehensive approach to managing environmental protection and safety in space travel.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8FC83" w14:textId="4C97926F" w:rsidR="008117CE" w:rsidRDefault="001A6DD4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5+5+5= 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7C278F14" w14:textId="66BBE9C1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02155EEB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6949ACFA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014C5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9144EB" w:rsidRPr="00293D36" w14:paraId="561EC348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9144EB" w:rsidRPr="00293D36" w14:paraId="7E975EDE" w14:textId="77777777" w:rsidTr="00DA0C0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73CB384B" w:rsidR="009144EB" w:rsidRPr="00DA0C07" w:rsidRDefault="005014C5" w:rsidP="000E07E0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>Assess the legal and ethical challenges of establishing permanent human habitation on celestial bodies.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17A79" w14:textId="1517330D" w:rsidR="009144EB" w:rsidRPr="00293D36" w:rsidRDefault="001A6DD4" w:rsidP="000E07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8+7= 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0E07E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08E7022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457CCAC8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014C5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</w:tr>
    </w:tbl>
    <w:p w14:paraId="691DFA87" w14:textId="3D0EEF47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2FBF7D0A" w14:textId="77777777" w:rsidTr="00DA0C0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DD5C" w14:textId="02A925F6" w:rsidR="009144EB" w:rsidRPr="00DA0C07" w:rsidRDefault="005014C5" w:rsidP="00DA0C0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 xml:space="preserve">The Republic of Stratos blocks overflight rights for neighboring </w:t>
            </w:r>
            <w:proofErr w:type="spellStart"/>
            <w:r w:rsidRPr="00DA0C07">
              <w:rPr>
                <w:rFonts w:ascii="Cambria" w:hAnsi="Cambria" w:cstheme="minorHAnsi"/>
                <w:sz w:val="24"/>
                <w:szCs w:val="24"/>
              </w:rPr>
              <w:t>Aerovia’s</w:t>
            </w:r>
            <w:proofErr w:type="spellEnd"/>
            <w:r w:rsidRPr="00DA0C07">
              <w:rPr>
                <w:rFonts w:ascii="Cambria" w:hAnsi="Cambria" w:cstheme="minorHAnsi"/>
                <w:sz w:val="24"/>
                <w:szCs w:val="24"/>
              </w:rPr>
              <w:t xml:space="preserve"> commercial airlines, citing environmental concerns. Analyze this restriction in light of the principles of sovereignty and the Five Freedoms of the Air. Propose a resolution mechanism based on ICAO guidelines.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8A8FC" w14:textId="34F3A885" w:rsidR="008117CE" w:rsidRDefault="001A6DD4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10+10=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15CBE4EC" w14:textId="5257A8E8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214ABFDB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25D3F244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014C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144EB" w:rsidRPr="00293D36" w14:paraId="565AA80F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FC4F57F" w14:textId="77777777" w:rsidTr="00DA0C0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89B61" w14:textId="578A2953" w:rsidR="009144EB" w:rsidRPr="00DA0C07" w:rsidRDefault="005014C5" w:rsidP="00DA0C0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A0C07">
              <w:rPr>
                <w:rFonts w:ascii="Cambria" w:hAnsi="Cambria" w:cstheme="minorHAnsi"/>
                <w:sz w:val="24"/>
                <w:szCs w:val="24"/>
              </w:rPr>
              <w:t xml:space="preserve">A military satellite owned by the Republic of </w:t>
            </w:r>
            <w:proofErr w:type="spellStart"/>
            <w:r w:rsidRPr="00DA0C07">
              <w:rPr>
                <w:rFonts w:ascii="Cambria" w:hAnsi="Cambria" w:cstheme="minorHAnsi"/>
                <w:sz w:val="24"/>
                <w:szCs w:val="24"/>
              </w:rPr>
              <w:t>Celestonia</w:t>
            </w:r>
            <w:proofErr w:type="spellEnd"/>
            <w:r w:rsidRPr="00DA0C07">
              <w:rPr>
                <w:rFonts w:ascii="Cambria" w:hAnsi="Cambria" w:cstheme="minorHAnsi"/>
                <w:sz w:val="24"/>
                <w:szCs w:val="24"/>
              </w:rPr>
              <w:t xml:space="preserve"> collided with a communication satellite of </w:t>
            </w:r>
            <w:proofErr w:type="spellStart"/>
            <w:r w:rsidRPr="00DA0C07">
              <w:rPr>
                <w:rFonts w:ascii="Cambria" w:hAnsi="Cambria" w:cstheme="minorHAnsi"/>
                <w:sz w:val="24"/>
                <w:szCs w:val="24"/>
              </w:rPr>
              <w:t>Solarex</w:t>
            </w:r>
            <w:proofErr w:type="spellEnd"/>
            <w:r w:rsidRPr="00DA0C07">
              <w:rPr>
                <w:rFonts w:ascii="Cambria" w:hAnsi="Cambria" w:cstheme="minorHAnsi"/>
                <w:sz w:val="24"/>
                <w:szCs w:val="24"/>
              </w:rPr>
              <w:t xml:space="preserve"> Ltd., a private operator from </w:t>
            </w:r>
            <w:proofErr w:type="spellStart"/>
            <w:r w:rsidRPr="00DA0C07">
              <w:rPr>
                <w:rFonts w:ascii="Cambria" w:hAnsi="Cambria" w:cstheme="minorHAnsi"/>
                <w:sz w:val="24"/>
                <w:szCs w:val="24"/>
              </w:rPr>
              <w:t>Stellanova</w:t>
            </w:r>
            <w:proofErr w:type="spellEnd"/>
            <w:r w:rsidRPr="00DA0C07">
              <w:rPr>
                <w:rFonts w:ascii="Cambria" w:hAnsi="Cambria" w:cstheme="minorHAnsi"/>
                <w:sz w:val="24"/>
                <w:szCs w:val="24"/>
              </w:rPr>
              <w:t xml:space="preserve">. Examine the state’s responsibility under the Outer Space Treaty (1967) and the Liability Convention (1972). Determine the remedies available for </w:t>
            </w:r>
            <w:proofErr w:type="spellStart"/>
            <w:r w:rsidRPr="00DA0C07">
              <w:rPr>
                <w:rFonts w:ascii="Cambria" w:hAnsi="Cambria" w:cstheme="minorHAnsi"/>
                <w:sz w:val="24"/>
                <w:szCs w:val="24"/>
              </w:rPr>
              <w:t>Solarex</w:t>
            </w:r>
            <w:proofErr w:type="spellEnd"/>
            <w:r w:rsidRPr="00DA0C07">
              <w:rPr>
                <w:rFonts w:ascii="Cambria" w:hAnsi="Cambria" w:cstheme="minorHAnsi"/>
                <w:sz w:val="24"/>
                <w:szCs w:val="24"/>
              </w:rPr>
              <w:t xml:space="preserve"> Ltd.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E5EBC" w14:textId="11B61AFC" w:rsidR="008117CE" w:rsidRDefault="001A6DD4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10+10=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15DD9455" w14:textId="07A536C8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4BAF00AD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398E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3CD63E68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615A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6BA9A2F" w:rsidR="009144EB" w:rsidRDefault="00E615AA" w:rsidP="006A0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B029B" w14:textId="77777777" w:rsidR="009C0072" w:rsidRDefault="009C0072">
      <w:pPr>
        <w:spacing w:line="240" w:lineRule="auto"/>
      </w:pPr>
      <w:r>
        <w:separator/>
      </w:r>
    </w:p>
  </w:endnote>
  <w:endnote w:type="continuationSeparator" w:id="0">
    <w:p w14:paraId="1A3A7AA5" w14:textId="77777777" w:rsidR="009C0072" w:rsidRDefault="009C0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52F75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52F75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4FC7D" w14:textId="77777777" w:rsidR="009C0072" w:rsidRDefault="009C0072">
      <w:pPr>
        <w:spacing w:after="0"/>
      </w:pPr>
      <w:r>
        <w:separator/>
      </w:r>
    </w:p>
  </w:footnote>
  <w:footnote w:type="continuationSeparator" w:id="0">
    <w:p w14:paraId="471AB6D1" w14:textId="77777777" w:rsidR="009C0072" w:rsidRDefault="009C00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6CCC"/>
    <w:rsid w:val="0009715A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07E0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D4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301B"/>
    <w:rsid w:val="003F4CAC"/>
    <w:rsid w:val="003F770D"/>
    <w:rsid w:val="00400119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0780"/>
    <w:rsid w:val="00471BF7"/>
    <w:rsid w:val="00472E79"/>
    <w:rsid w:val="00473B63"/>
    <w:rsid w:val="004777EE"/>
    <w:rsid w:val="004826C8"/>
    <w:rsid w:val="00487426"/>
    <w:rsid w:val="00493336"/>
    <w:rsid w:val="00494223"/>
    <w:rsid w:val="00495897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14C5"/>
    <w:rsid w:val="00506377"/>
    <w:rsid w:val="00506696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3BE5"/>
    <w:rsid w:val="00545D12"/>
    <w:rsid w:val="005466BA"/>
    <w:rsid w:val="00550586"/>
    <w:rsid w:val="00552480"/>
    <w:rsid w:val="00552F75"/>
    <w:rsid w:val="00554315"/>
    <w:rsid w:val="00555153"/>
    <w:rsid w:val="00560B3A"/>
    <w:rsid w:val="00564397"/>
    <w:rsid w:val="00565156"/>
    <w:rsid w:val="0056566F"/>
    <w:rsid w:val="00567AAF"/>
    <w:rsid w:val="005700D1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355E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13DEC"/>
    <w:rsid w:val="00913F69"/>
    <w:rsid w:val="009144EB"/>
    <w:rsid w:val="00915246"/>
    <w:rsid w:val="0091549A"/>
    <w:rsid w:val="00921AB7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0072"/>
    <w:rsid w:val="009C47DE"/>
    <w:rsid w:val="009C61FB"/>
    <w:rsid w:val="009C6B25"/>
    <w:rsid w:val="009C7E45"/>
    <w:rsid w:val="009D57A2"/>
    <w:rsid w:val="009E30DC"/>
    <w:rsid w:val="009E398E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6EA8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340D"/>
    <w:rsid w:val="00B77F41"/>
    <w:rsid w:val="00B85087"/>
    <w:rsid w:val="00B915BE"/>
    <w:rsid w:val="00B942AE"/>
    <w:rsid w:val="00B95C27"/>
    <w:rsid w:val="00B95DB6"/>
    <w:rsid w:val="00BA3FAC"/>
    <w:rsid w:val="00BA6BAC"/>
    <w:rsid w:val="00BB107E"/>
    <w:rsid w:val="00BB17F5"/>
    <w:rsid w:val="00BB58DD"/>
    <w:rsid w:val="00BB5A7C"/>
    <w:rsid w:val="00BB7A48"/>
    <w:rsid w:val="00BC480B"/>
    <w:rsid w:val="00BC621A"/>
    <w:rsid w:val="00BC6A16"/>
    <w:rsid w:val="00BC7011"/>
    <w:rsid w:val="00BD4815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1C0"/>
    <w:rsid w:val="00C47845"/>
    <w:rsid w:val="00C478BB"/>
    <w:rsid w:val="00C54BC9"/>
    <w:rsid w:val="00C628C7"/>
    <w:rsid w:val="00C70F56"/>
    <w:rsid w:val="00C719C0"/>
    <w:rsid w:val="00C7254A"/>
    <w:rsid w:val="00C731D1"/>
    <w:rsid w:val="00C74561"/>
    <w:rsid w:val="00C77CD4"/>
    <w:rsid w:val="00C77E81"/>
    <w:rsid w:val="00C8138D"/>
    <w:rsid w:val="00C824A3"/>
    <w:rsid w:val="00C86FB9"/>
    <w:rsid w:val="00C92292"/>
    <w:rsid w:val="00C94CC3"/>
    <w:rsid w:val="00C95D5B"/>
    <w:rsid w:val="00CA1572"/>
    <w:rsid w:val="00CA22BC"/>
    <w:rsid w:val="00CA280C"/>
    <w:rsid w:val="00CA631C"/>
    <w:rsid w:val="00CB39E2"/>
    <w:rsid w:val="00CB4557"/>
    <w:rsid w:val="00CC0778"/>
    <w:rsid w:val="00CC3B8E"/>
    <w:rsid w:val="00CC7D8B"/>
    <w:rsid w:val="00CC7F2E"/>
    <w:rsid w:val="00CD16DB"/>
    <w:rsid w:val="00CD3799"/>
    <w:rsid w:val="00CD37D5"/>
    <w:rsid w:val="00CD6308"/>
    <w:rsid w:val="00CF24AD"/>
    <w:rsid w:val="00CF2DD2"/>
    <w:rsid w:val="00CF79D6"/>
    <w:rsid w:val="00CF7B94"/>
    <w:rsid w:val="00D00212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0F89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0C07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0F9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15AA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1302"/>
    <w:rsid w:val="00EF26CC"/>
    <w:rsid w:val="00EF3B47"/>
    <w:rsid w:val="00EF3C32"/>
    <w:rsid w:val="00EF519F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E771B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5FEDF-8C53-403D-BF02-5BA5D9EF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165</cp:revision>
  <cp:lastPrinted>2025-01-08T07:47:00Z</cp:lastPrinted>
  <dcterms:created xsi:type="dcterms:W3CDTF">2022-12-06T08:34:00Z</dcterms:created>
  <dcterms:modified xsi:type="dcterms:W3CDTF">2025-01-08T07:48:00Z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