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30B62AEA" w14:textId="77777777" w:rsidR="00514644" w:rsidRDefault="00514644" w:rsidP="00514644">
      <w:pPr>
        <w:pStyle w:val="ListParagraph"/>
        <w:spacing w:after="0"/>
        <w:ind w:left="0"/>
        <w:jc w:val="center"/>
        <w:rPr>
          <w:rFonts w:ascii="Arial" w:hAnsi="Arial" w:cs="Arial"/>
          <w:b/>
          <w:caps/>
          <w:sz w:val="28"/>
          <w:szCs w:val="24"/>
        </w:rPr>
      </w:pPr>
    </w:p>
    <w:p w14:paraId="579930D1" w14:textId="77777777" w:rsidR="00514644" w:rsidRDefault="00514644" w:rsidP="00514644">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70EC5970" wp14:editId="36301BF1">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2AF2ABA7" w14:textId="77777777" w:rsidR="00514644" w:rsidRPr="001B701E" w:rsidRDefault="00514644" w:rsidP="00514644">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3AAFE475" w14:textId="77777777" w:rsidR="00514644" w:rsidRPr="007B21B6" w:rsidRDefault="00514644" w:rsidP="00514644">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514644" w:rsidRPr="00293D36" w14:paraId="0459D16B" w14:textId="77777777" w:rsidTr="00F901BF">
        <w:trPr>
          <w:trHeight w:val="627"/>
        </w:trPr>
        <w:tc>
          <w:tcPr>
            <w:tcW w:w="10806" w:type="dxa"/>
            <w:vAlign w:val="center"/>
          </w:tcPr>
          <w:p w14:paraId="08DC3E97" w14:textId="05BB918D" w:rsidR="00514644" w:rsidRPr="00293D36" w:rsidRDefault="002B74D9" w:rsidP="00F901BF">
            <w:pPr>
              <w:spacing w:after="0" w:line="360" w:lineRule="auto"/>
              <w:ind w:firstLine="30"/>
              <w:jc w:val="center"/>
              <w:rPr>
                <w:rFonts w:ascii="Cambria" w:hAnsi="Cambria" w:cstheme="minorHAnsi"/>
                <w:b/>
                <w:color w:val="000000" w:themeColor="text1"/>
                <w:sz w:val="24"/>
                <w:szCs w:val="24"/>
                <w:lang w:val="en-GB"/>
              </w:rPr>
            </w:pPr>
            <w:r w:rsidRPr="00402165">
              <w:rPr>
                <w:rFonts w:ascii="Cambria" w:hAnsi="Cambria" w:cstheme="minorHAnsi"/>
                <w:b/>
                <w:sz w:val="28"/>
                <w:szCs w:val="28"/>
              </w:rPr>
              <w:t>End - Term Examinations – JANUARY</w:t>
            </w:r>
            <w:r w:rsidRPr="00402165">
              <w:rPr>
                <w:rFonts w:ascii="Cambria" w:hAnsi="Cambria" w:cstheme="minorHAnsi"/>
                <w:b/>
                <w:sz w:val="28"/>
                <w:szCs w:val="28"/>
                <w:lang w:val="en-GB"/>
              </w:rPr>
              <w:t xml:space="preserve"> </w:t>
            </w:r>
            <w:r w:rsidRPr="00402165">
              <w:rPr>
                <w:rFonts w:ascii="Cambria" w:hAnsi="Cambria" w:cstheme="minorHAnsi"/>
                <w:b/>
                <w:sz w:val="28"/>
                <w:szCs w:val="28"/>
              </w:rPr>
              <w:t>2025</w:t>
            </w:r>
          </w:p>
        </w:tc>
      </w:tr>
      <w:tr w:rsidR="00514644" w:rsidRPr="00293D36" w14:paraId="6241819F" w14:textId="77777777" w:rsidTr="00F901BF">
        <w:trPr>
          <w:trHeight w:val="609"/>
        </w:trPr>
        <w:tc>
          <w:tcPr>
            <w:tcW w:w="10806" w:type="dxa"/>
            <w:vAlign w:val="center"/>
          </w:tcPr>
          <w:p w14:paraId="04C3AFF2" w14:textId="4C7582C2" w:rsidR="00514644" w:rsidRPr="00293D36" w:rsidRDefault="00622AA3" w:rsidP="00F901BF">
            <w:pPr>
              <w:spacing w:after="0" w:line="360" w:lineRule="auto"/>
              <w:ind w:firstLine="30"/>
              <w:rPr>
                <w:rFonts w:ascii="Cambria" w:hAnsi="Cambria" w:cstheme="minorHAnsi"/>
                <w:b/>
                <w:color w:val="000000" w:themeColor="text1"/>
                <w:sz w:val="24"/>
                <w:szCs w:val="24"/>
              </w:rPr>
            </w:pPr>
            <w:r w:rsidRPr="00402165">
              <w:rPr>
                <w:rFonts w:ascii="Cambria" w:hAnsi="Cambria" w:cstheme="minorHAnsi"/>
                <w:b/>
                <w:color w:val="000000" w:themeColor="text1"/>
                <w:sz w:val="24"/>
                <w:szCs w:val="24"/>
              </w:rPr>
              <w:t>Date:</w:t>
            </w:r>
            <w:r w:rsidRPr="00402165">
              <w:rPr>
                <w:rFonts w:ascii="Cambria" w:hAnsi="Cambria" w:cstheme="minorHAnsi"/>
                <w:color w:val="000000" w:themeColor="text1"/>
                <w:sz w:val="24"/>
                <w:szCs w:val="24"/>
              </w:rPr>
              <w:t xml:space="preserve"> 08 / 01/ 2025                                                                                                    </w:t>
            </w:r>
            <w:r w:rsidRPr="00402165">
              <w:rPr>
                <w:rFonts w:ascii="Cambria" w:hAnsi="Cambria" w:cstheme="minorHAnsi"/>
                <w:b/>
                <w:color w:val="000000" w:themeColor="text1"/>
                <w:sz w:val="24"/>
                <w:szCs w:val="24"/>
              </w:rPr>
              <w:t>Time:</w:t>
            </w:r>
            <w:r w:rsidRPr="00402165">
              <w:rPr>
                <w:rFonts w:ascii="Cambria" w:hAnsi="Cambria" w:cstheme="minorHAnsi"/>
                <w:color w:val="000000" w:themeColor="text1"/>
                <w:sz w:val="24"/>
                <w:szCs w:val="24"/>
              </w:rPr>
              <w:t xml:space="preserve"> 09:30 am –12:30 pm</w:t>
            </w:r>
          </w:p>
        </w:tc>
      </w:tr>
    </w:tbl>
    <w:p w14:paraId="06169F23" w14:textId="77777777" w:rsidR="00514644" w:rsidRDefault="00514644" w:rsidP="00514644">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514644" w14:paraId="0D82182B" w14:textId="77777777" w:rsidTr="00F901BF">
        <w:trPr>
          <w:trHeight w:val="440"/>
        </w:trPr>
        <w:tc>
          <w:tcPr>
            <w:tcW w:w="4395" w:type="dxa"/>
            <w:vAlign w:val="center"/>
          </w:tcPr>
          <w:p w14:paraId="2CE3A42F" w14:textId="5A13972A" w:rsidR="00514644" w:rsidRDefault="007B40A5" w:rsidP="007B40A5">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7B40A5">
              <w:rPr>
                <w:rFonts w:ascii="Cambria" w:hAnsi="Cambria" w:cstheme="minorHAnsi"/>
                <w:color w:val="000000" w:themeColor="text1"/>
                <w:sz w:val="24"/>
                <w:szCs w:val="24"/>
                <w:lang w:val="en-GB"/>
              </w:rPr>
              <w:t>SOM(PG)</w:t>
            </w:r>
          </w:p>
        </w:tc>
        <w:tc>
          <w:tcPr>
            <w:tcW w:w="6388" w:type="dxa"/>
            <w:gridSpan w:val="2"/>
            <w:vAlign w:val="center"/>
          </w:tcPr>
          <w:p w14:paraId="341E67D5" w14:textId="77777777" w:rsidR="00514644" w:rsidRDefault="00514644" w:rsidP="00F901BF">
            <w:pPr>
              <w:spacing w:after="0"/>
              <w:rPr>
                <w:rFonts w:ascii="Cambria" w:hAnsi="Cambria" w:cstheme="minorHAnsi"/>
                <w:b/>
                <w:sz w:val="28"/>
                <w:szCs w:val="28"/>
              </w:rPr>
            </w:pPr>
            <w:r>
              <w:rPr>
                <w:rFonts w:ascii="Cambria" w:hAnsi="Cambria" w:cstheme="minorHAnsi"/>
                <w:b/>
                <w:color w:val="000000" w:themeColor="text1"/>
                <w:sz w:val="24"/>
                <w:szCs w:val="24"/>
              </w:rPr>
              <w:t>Program:</w:t>
            </w:r>
            <w:r w:rsidRPr="007B40A5">
              <w:rPr>
                <w:rFonts w:ascii="Cambria" w:hAnsi="Cambria" w:cstheme="minorHAnsi"/>
                <w:color w:val="000000" w:themeColor="text1"/>
                <w:sz w:val="24"/>
                <w:szCs w:val="24"/>
              </w:rPr>
              <w:t xml:space="preserve"> MBA</w:t>
            </w:r>
          </w:p>
        </w:tc>
      </w:tr>
      <w:tr w:rsidR="00514644" w14:paraId="0ADB5B9C" w14:textId="77777777" w:rsidTr="00F901BF">
        <w:trPr>
          <w:trHeight w:val="633"/>
        </w:trPr>
        <w:tc>
          <w:tcPr>
            <w:tcW w:w="4395" w:type="dxa"/>
            <w:vAlign w:val="center"/>
          </w:tcPr>
          <w:p w14:paraId="52E5EF87" w14:textId="7B8337D7" w:rsidR="00514644" w:rsidRDefault="00514644"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A42FD6">
              <w:rPr>
                <w:rFonts w:ascii="Cambria" w:hAnsi="Cambria" w:cstheme="minorHAnsi"/>
                <w:b/>
                <w:color w:val="000000" w:themeColor="text1"/>
                <w:sz w:val="24"/>
                <w:szCs w:val="24"/>
              </w:rPr>
              <w:t xml:space="preserve"> </w:t>
            </w:r>
            <w:r w:rsidR="00A42FD6" w:rsidRPr="007B40A5">
              <w:rPr>
                <w:rFonts w:ascii="Cambria" w:hAnsi="Cambria" w:cstheme="minorHAnsi"/>
                <w:color w:val="000000" w:themeColor="text1"/>
                <w:sz w:val="24"/>
                <w:szCs w:val="24"/>
              </w:rPr>
              <w:t>MBA3069</w:t>
            </w:r>
          </w:p>
        </w:tc>
        <w:tc>
          <w:tcPr>
            <w:tcW w:w="6388" w:type="dxa"/>
            <w:gridSpan w:val="2"/>
            <w:vAlign w:val="center"/>
          </w:tcPr>
          <w:p w14:paraId="5A22F9F0" w14:textId="74022405" w:rsidR="00514644" w:rsidRDefault="00514644"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42FD6">
              <w:rPr>
                <w:rFonts w:ascii="Cambria" w:hAnsi="Cambria" w:cstheme="minorHAnsi"/>
                <w:b/>
                <w:color w:val="000000" w:themeColor="text1"/>
                <w:sz w:val="24"/>
                <w:szCs w:val="24"/>
              </w:rPr>
              <w:t xml:space="preserve"> </w:t>
            </w:r>
            <w:r w:rsidR="00A42FD6" w:rsidRPr="007B40A5">
              <w:rPr>
                <w:rFonts w:ascii="Cambria" w:hAnsi="Cambria" w:cstheme="minorHAnsi"/>
                <w:color w:val="000000" w:themeColor="text1"/>
                <w:sz w:val="24"/>
                <w:szCs w:val="24"/>
              </w:rPr>
              <w:t>Commercial Banking</w:t>
            </w:r>
          </w:p>
        </w:tc>
      </w:tr>
      <w:tr w:rsidR="00514644" w14:paraId="17D795B0" w14:textId="77777777" w:rsidTr="00F901BF">
        <w:trPr>
          <w:trHeight w:val="633"/>
        </w:trPr>
        <w:tc>
          <w:tcPr>
            <w:tcW w:w="4395" w:type="dxa"/>
            <w:vAlign w:val="center"/>
          </w:tcPr>
          <w:p w14:paraId="1C5626F9" w14:textId="112CC9D5" w:rsidR="00514644" w:rsidRDefault="00514644"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A42FD6">
              <w:rPr>
                <w:rFonts w:ascii="Cambria" w:hAnsi="Cambria" w:cstheme="minorHAnsi"/>
                <w:color w:val="000000" w:themeColor="text1"/>
                <w:sz w:val="24"/>
                <w:szCs w:val="24"/>
              </w:rPr>
              <w:t>III</w:t>
            </w:r>
          </w:p>
        </w:tc>
        <w:tc>
          <w:tcPr>
            <w:tcW w:w="3402" w:type="dxa"/>
            <w:vAlign w:val="center"/>
          </w:tcPr>
          <w:p w14:paraId="3021D3E2" w14:textId="77777777" w:rsidR="00514644" w:rsidRDefault="0051464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CCA4C23" w14:textId="3C9B117B" w:rsidR="00514644" w:rsidRDefault="00514644"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42FD6">
              <w:rPr>
                <w:rFonts w:ascii="Cambria" w:hAnsi="Cambria" w:cstheme="minorHAnsi"/>
                <w:color w:val="000000" w:themeColor="text1"/>
                <w:sz w:val="24"/>
                <w:szCs w:val="24"/>
              </w:rPr>
              <w:t>50</w:t>
            </w:r>
            <w:r w:rsidR="007B40A5">
              <w:rPr>
                <w:rFonts w:ascii="Cambria" w:hAnsi="Cambria" w:cstheme="minorHAnsi"/>
                <w:color w:val="000000" w:themeColor="text1"/>
                <w:sz w:val="24"/>
                <w:szCs w:val="24"/>
              </w:rPr>
              <w:t>%</w:t>
            </w:r>
          </w:p>
        </w:tc>
      </w:tr>
    </w:tbl>
    <w:p w14:paraId="4496328A" w14:textId="77777777" w:rsidR="00514644" w:rsidRDefault="00514644" w:rsidP="00514644">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514644" w14:paraId="32339D3A" w14:textId="77777777" w:rsidTr="00F901BF">
        <w:trPr>
          <w:trHeight w:val="550"/>
        </w:trPr>
        <w:tc>
          <w:tcPr>
            <w:tcW w:w="1882" w:type="dxa"/>
            <w:vAlign w:val="center"/>
          </w:tcPr>
          <w:p w14:paraId="511DBB69" w14:textId="77777777" w:rsidR="00514644" w:rsidRDefault="00514644"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7CAB9ED5" w14:textId="77777777" w:rsidR="00514644" w:rsidRDefault="00514644"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5EF93C9A" w14:textId="77777777" w:rsidR="00514644" w:rsidRDefault="00514644"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1A96B717" w14:textId="77777777" w:rsidR="00514644" w:rsidRDefault="00514644"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2FAAA59" w14:textId="77777777" w:rsidR="00514644" w:rsidRDefault="00514644"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0565ECA1" w14:textId="77777777" w:rsidR="00514644" w:rsidRDefault="00514644" w:rsidP="00F901BF">
            <w:pPr>
              <w:spacing w:after="0"/>
              <w:jc w:val="center"/>
              <w:rPr>
                <w:rFonts w:ascii="Cambria" w:hAnsi="Cambria" w:cstheme="minorHAnsi"/>
                <w:b/>
                <w:sz w:val="24"/>
                <w:szCs w:val="24"/>
              </w:rPr>
            </w:pPr>
            <w:r>
              <w:rPr>
                <w:rFonts w:ascii="Cambria" w:hAnsi="Cambria" w:cstheme="minorHAnsi"/>
                <w:b/>
                <w:sz w:val="24"/>
                <w:szCs w:val="24"/>
              </w:rPr>
              <w:t>CO5</w:t>
            </w:r>
          </w:p>
        </w:tc>
      </w:tr>
      <w:tr w:rsidR="00514644" w14:paraId="4A8AB414" w14:textId="77777777" w:rsidTr="00F901BF">
        <w:trPr>
          <w:trHeight w:val="550"/>
        </w:trPr>
        <w:tc>
          <w:tcPr>
            <w:tcW w:w="1882" w:type="dxa"/>
            <w:vAlign w:val="center"/>
          </w:tcPr>
          <w:p w14:paraId="01239184" w14:textId="77777777" w:rsidR="00514644" w:rsidRDefault="00514644"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C922774" w14:textId="122411B9" w:rsidR="00514644" w:rsidRDefault="00C46A1B" w:rsidP="00F901BF">
            <w:pPr>
              <w:spacing w:after="0"/>
              <w:jc w:val="center"/>
              <w:rPr>
                <w:rFonts w:ascii="Cambria" w:hAnsi="Cambria" w:cstheme="minorHAnsi"/>
                <w:b/>
                <w:sz w:val="24"/>
                <w:szCs w:val="24"/>
              </w:rPr>
            </w:pPr>
            <w:r>
              <w:rPr>
                <w:rFonts w:ascii="Cambria" w:hAnsi="Cambria" w:cstheme="minorHAnsi"/>
                <w:b/>
                <w:sz w:val="24"/>
                <w:szCs w:val="24"/>
              </w:rPr>
              <w:t>13</w:t>
            </w:r>
          </w:p>
        </w:tc>
        <w:tc>
          <w:tcPr>
            <w:tcW w:w="1735" w:type="dxa"/>
          </w:tcPr>
          <w:p w14:paraId="1E007751" w14:textId="48D7DDDC" w:rsidR="00514644" w:rsidRDefault="00C46A1B" w:rsidP="00F901BF">
            <w:pPr>
              <w:spacing w:after="0"/>
              <w:jc w:val="center"/>
              <w:rPr>
                <w:rFonts w:ascii="Cambria" w:hAnsi="Cambria" w:cstheme="minorHAnsi"/>
                <w:b/>
                <w:sz w:val="24"/>
                <w:szCs w:val="24"/>
              </w:rPr>
            </w:pPr>
            <w:r>
              <w:rPr>
                <w:rFonts w:ascii="Cambria" w:hAnsi="Cambria" w:cstheme="minorHAnsi"/>
                <w:b/>
                <w:sz w:val="24"/>
                <w:szCs w:val="24"/>
              </w:rPr>
              <w:t>13</w:t>
            </w:r>
          </w:p>
        </w:tc>
        <w:tc>
          <w:tcPr>
            <w:tcW w:w="1735" w:type="dxa"/>
          </w:tcPr>
          <w:p w14:paraId="12EE2C21" w14:textId="0951C281" w:rsidR="00514644" w:rsidRDefault="00C46A1B" w:rsidP="00F901BF">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561FAF53" w14:textId="3C2F68DB" w:rsidR="00514644" w:rsidRDefault="00C46A1B" w:rsidP="00F901BF">
            <w:pPr>
              <w:spacing w:after="0"/>
              <w:jc w:val="center"/>
              <w:rPr>
                <w:rFonts w:ascii="Cambria" w:hAnsi="Cambria" w:cstheme="minorHAnsi"/>
                <w:b/>
                <w:sz w:val="24"/>
                <w:szCs w:val="24"/>
              </w:rPr>
            </w:pPr>
            <w:r>
              <w:rPr>
                <w:rFonts w:ascii="Cambria" w:hAnsi="Cambria" w:cstheme="minorHAnsi"/>
                <w:b/>
                <w:sz w:val="24"/>
                <w:szCs w:val="24"/>
              </w:rPr>
              <w:t>46</w:t>
            </w:r>
          </w:p>
        </w:tc>
        <w:tc>
          <w:tcPr>
            <w:tcW w:w="1942" w:type="dxa"/>
          </w:tcPr>
          <w:p w14:paraId="1895EBFB" w14:textId="77777777" w:rsidR="00514644" w:rsidRDefault="00514644" w:rsidP="00F901BF">
            <w:pPr>
              <w:spacing w:after="0"/>
              <w:jc w:val="center"/>
              <w:rPr>
                <w:rFonts w:ascii="Cambria" w:hAnsi="Cambria" w:cstheme="minorHAnsi"/>
                <w:b/>
                <w:sz w:val="24"/>
                <w:szCs w:val="24"/>
              </w:rPr>
            </w:pPr>
          </w:p>
        </w:tc>
      </w:tr>
    </w:tbl>
    <w:p w14:paraId="462B5070" w14:textId="77777777" w:rsidR="00514644" w:rsidRPr="00D8462B" w:rsidRDefault="00514644" w:rsidP="00514644">
      <w:pPr>
        <w:spacing w:after="0"/>
        <w:rPr>
          <w:rFonts w:ascii="Cambria" w:hAnsi="Cambria" w:cstheme="minorHAnsi"/>
          <w:b/>
          <w:sz w:val="24"/>
          <w:szCs w:val="24"/>
        </w:rPr>
      </w:pPr>
      <w:r w:rsidRPr="00293D36">
        <w:rPr>
          <w:rFonts w:ascii="Cambria" w:hAnsi="Cambria" w:cstheme="minorHAnsi"/>
          <w:b/>
          <w:sz w:val="24"/>
          <w:szCs w:val="24"/>
        </w:rPr>
        <w:t>Instructions:</w:t>
      </w:r>
    </w:p>
    <w:p w14:paraId="06B9A51E" w14:textId="77777777" w:rsidR="00514644" w:rsidRPr="00293D36" w:rsidRDefault="00514644" w:rsidP="0051464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1B002DDE" w14:textId="77777777" w:rsidR="00514644" w:rsidRPr="00293D36" w:rsidRDefault="00514644" w:rsidP="00514644">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5"/>
        <w:gridCol w:w="6528"/>
        <w:gridCol w:w="1120"/>
        <w:gridCol w:w="1865"/>
        <w:gridCol w:w="700"/>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30375E" w:rsidRPr="00293D36" w14:paraId="3026CF88" w14:textId="12BDD24F" w:rsidTr="005800F7">
        <w:trPr>
          <w:trHeight w:val="507"/>
        </w:trPr>
        <w:tc>
          <w:tcPr>
            <w:tcW w:w="555" w:type="dxa"/>
          </w:tcPr>
          <w:p w14:paraId="1D7C8F50" w14:textId="66E17C7C" w:rsidR="0030375E" w:rsidRPr="00293D36" w:rsidRDefault="0030375E" w:rsidP="0030375E">
            <w:pPr>
              <w:jc w:val="center"/>
              <w:rPr>
                <w:rFonts w:ascii="Cambria" w:hAnsi="Cambria" w:cstheme="minorHAnsi"/>
                <w:b/>
                <w:sz w:val="24"/>
                <w:szCs w:val="24"/>
              </w:rPr>
            </w:pPr>
            <w:r w:rsidRPr="00293D36">
              <w:rPr>
                <w:rFonts w:ascii="Cambria" w:hAnsi="Cambria" w:cstheme="minorHAnsi"/>
                <w:b/>
                <w:sz w:val="24"/>
                <w:szCs w:val="24"/>
              </w:rPr>
              <w:t>1</w:t>
            </w:r>
          </w:p>
        </w:tc>
        <w:tc>
          <w:tcPr>
            <w:tcW w:w="6528" w:type="dxa"/>
          </w:tcPr>
          <w:p w14:paraId="6D505781" w14:textId="2140EAD5"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Recall the features of equitable mortgage</w:t>
            </w:r>
          </w:p>
        </w:tc>
        <w:tc>
          <w:tcPr>
            <w:tcW w:w="1120" w:type="dxa"/>
          </w:tcPr>
          <w:p w14:paraId="3E39EFC4" w14:textId="3CD50146" w:rsidR="0030375E" w:rsidRPr="00D307C6"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4FB00E70" w14:textId="5781D981" w:rsidR="0030375E" w:rsidRPr="00293D36" w:rsidRDefault="0030375E" w:rsidP="005800F7">
            <w:pP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1739CAD0" w14:textId="2443F520"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1B8E9375" w14:textId="1F264430" w:rsidTr="005800F7">
        <w:trPr>
          <w:trHeight w:val="522"/>
        </w:trPr>
        <w:tc>
          <w:tcPr>
            <w:tcW w:w="555" w:type="dxa"/>
          </w:tcPr>
          <w:p w14:paraId="1CA1BB6F" w14:textId="6556DC61" w:rsidR="0030375E" w:rsidRPr="00293D36" w:rsidRDefault="0030375E" w:rsidP="0030375E">
            <w:pPr>
              <w:jc w:val="center"/>
              <w:rPr>
                <w:rFonts w:ascii="Cambria" w:hAnsi="Cambria" w:cstheme="minorHAnsi"/>
                <w:b/>
                <w:sz w:val="24"/>
                <w:szCs w:val="24"/>
              </w:rPr>
            </w:pPr>
            <w:r w:rsidRPr="00293D36">
              <w:rPr>
                <w:rFonts w:ascii="Cambria" w:hAnsi="Cambria" w:cstheme="minorHAnsi"/>
                <w:b/>
                <w:sz w:val="24"/>
                <w:szCs w:val="24"/>
              </w:rPr>
              <w:t>2</w:t>
            </w:r>
          </w:p>
        </w:tc>
        <w:tc>
          <w:tcPr>
            <w:tcW w:w="6528" w:type="dxa"/>
          </w:tcPr>
          <w:p w14:paraId="3B25287A" w14:textId="4A4D3579"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Explain the features of Real Time Gross Settlement (RTGS)</w:t>
            </w:r>
          </w:p>
        </w:tc>
        <w:tc>
          <w:tcPr>
            <w:tcW w:w="1120" w:type="dxa"/>
          </w:tcPr>
          <w:p w14:paraId="3F8D684F" w14:textId="2A5A5090" w:rsidR="0030375E" w:rsidRPr="00D307C6"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3D74774F" w14:textId="3775AF50" w:rsidR="0030375E" w:rsidRPr="00293D36" w:rsidRDefault="0030375E" w:rsidP="005800F7">
            <w:pPr>
              <w:rPr>
                <w:rFonts w:ascii="Cambria" w:hAnsi="Cambria" w:cstheme="minorHAnsi"/>
                <w:b/>
                <w:sz w:val="24"/>
                <w:szCs w:val="24"/>
              </w:rPr>
            </w:pPr>
            <w:r>
              <w:rPr>
                <w:rFonts w:ascii="Cambria" w:hAnsi="Cambria" w:cstheme="minorHAnsi"/>
                <w:b/>
                <w:sz w:val="24"/>
                <w:szCs w:val="24"/>
                <w:lang w:val="en-IN" w:eastAsia="en-IN"/>
              </w:rPr>
              <w:t>Understanding</w:t>
            </w:r>
          </w:p>
        </w:tc>
        <w:tc>
          <w:tcPr>
            <w:tcW w:w="700" w:type="dxa"/>
          </w:tcPr>
          <w:p w14:paraId="1A12A8E0" w14:textId="79C17445"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5F84D05D" w14:textId="58E55F22" w:rsidTr="005800F7">
        <w:trPr>
          <w:trHeight w:val="507"/>
        </w:trPr>
        <w:tc>
          <w:tcPr>
            <w:tcW w:w="555" w:type="dxa"/>
          </w:tcPr>
          <w:p w14:paraId="47BBBFC1" w14:textId="505172F8" w:rsidR="0030375E" w:rsidRPr="00293D36" w:rsidRDefault="0030375E" w:rsidP="0030375E">
            <w:pPr>
              <w:jc w:val="center"/>
              <w:rPr>
                <w:rFonts w:ascii="Cambria" w:hAnsi="Cambria" w:cstheme="minorHAnsi"/>
                <w:b/>
                <w:sz w:val="24"/>
                <w:szCs w:val="24"/>
              </w:rPr>
            </w:pPr>
            <w:r w:rsidRPr="00293D36">
              <w:rPr>
                <w:rFonts w:ascii="Cambria" w:hAnsi="Cambria" w:cstheme="minorHAnsi"/>
                <w:b/>
                <w:sz w:val="24"/>
                <w:szCs w:val="24"/>
              </w:rPr>
              <w:t>3</w:t>
            </w:r>
          </w:p>
        </w:tc>
        <w:tc>
          <w:tcPr>
            <w:tcW w:w="6528" w:type="dxa"/>
          </w:tcPr>
          <w:p w14:paraId="195EA8F7" w14:textId="1BA43D82"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Recall the salient features of Society for Worldwide Interbank Financial Telecommunications (SWIFT)</w:t>
            </w:r>
          </w:p>
        </w:tc>
        <w:tc>
          <w:tcPr>
            <w:tcW w:w="1120" w:type="dxa"/>
          </w:tcPr>
          <w:p w14:paraId="00084352" w14:textId="2F68E0C8" w:rsidR="0030375E" w:rsidRPr="00D307C6"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1F94C0B1" w14:textId="1E315B85" w:rsidR="0030375E" w:rsidRPr="00293D36" w:rsidRDefault="0030375E" w:rsidP="005800F7">
            <w:pP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727F794F" w14:textId="5A110CC5" w:rsidR="0030375E" w:rsidRDefault="0030375E" w:rsidP="005800F7">
            <w:pPr>
              <w:rPr>
                <w:rFonts w:ascii="Cambria" w:hAnsi="Cambria" w:cstheme="minorHAnsi"/>
                <w:b/>
                <w:sz w:val="24"/>
                <w:szCs w:val="24"/>
              </w:rPr>
            </w:pPr>
            <w:r>
              <w:rPr>
                <w:rFonts w:ascii="Cambria" w:hAnsi="Cambria" w:cstheme="minorHAnsi"/>
                <w:b/>
                <w:sz w:val="24"/>
                <w:szCs w:val="24"/>
              </w:rPr>
              <w:t>CO4</w:t>
            </w:r>
          </w:p>
        </w:tc>
      </w:tr>
      <w:tr w:rsidR="0030375E" w:rsidRPr="00293D36" w14:paraId="6BA36377" w14:textId="1F5DC35D" w:rsidTr="005800F7">
        <w:trPr>
          <w:trHeight w:val="522"/>
        </w:trPr>
        <w:tc>
          <w:tcPr>
            <w:tcW w:w="555" w:type="dxa"/>
          </w:tcPr>
          <w:p w14:paraId="053A6850" w14:textId="5FB465FD" w:rsidR="0030375E" w:rsidRPr="00293D36" w:rsidRDefault="0030375E" w:rsidP="0030375E">
            <w:pPr>
              <w:jc w:val="center"/>
              <w:rPr>
                <w:rFonts w:ascii="Cambria" w:hAnsi="Cambria" w:cstheme="minorHAnsi"/>
                <w:b/>
                <w:sz w:val="24"/>
                <w:szCs w:val="24"/>
              </w:rPr>
            </w:pPr>
            <w:r w:rsidRPr="00293D36">
              <w:rPr>
                <w:rFonts w:ascii="Cambria" w:hAnsi="Cambria" w:cstheme="minorHAnsi"/>
                <w:b/>
                <w:sz w:val="24"/>
                <w:szCs w:val="24"/>
              </w:rPr>
              <w:t>4</w:t>
            </w:r>
          </w:p>
        </w:tc>
        <w:tc>
          <w:tcPr>
            <w:tcW w:w="6528" w:type="dxa"/>
          </w:tcPr>
          <w:p w14:paraId="71191E11" w14:textId="38287920"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Summarize the characteristics of Marginal Cost of Lending Rate (MCLR)</w:t>
            </w:r>
          </w:p>
        </w:tc>
        <w:tc>
          <w:tcPr>
            <w:tcW w:w="1120" w:type="dxa"/>
          </w:tcPr>
          <w:p w14:paraId="43148440" w14:textId="1BEB1FCD" w:rsidR="0030375E" w:rsidRPr="00D307C6"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292E902C" w14:textId="59B57814" w:rsidR="0030375E" w:rsidRPr="00293D36" w:rsidRDefault="0030375E" w:rsidP="005800F7">
            <w:pPr>
              <w:rPr>
                <w:rFonts w:ascii="Cambria" w:hAnsi="Cambria" w:cstheme="minorHAnsi"/>
                <w:b/>
                <w:sz w:val="24"/>
                <w:szCs w:val="24"/>
              </w:rPr>
            </w:pPr>
            <w:r>
              <w:rPr>
                <w:rFonts w:ascii="Cambria" w:hAnsi="Cambria" w:cstheme="minorHAnsi"/>
                <w:b/>
                <w:sz w:val="24"/>
                <w:szCs w:val="24"/>
                <w:lang w:val="en-IN" w:eastAsia="en-IN"/>
              </w:rPr>
              <w:t>Understanding</w:t>
            </w:r>
          </w:p>
        </w:tc>
        <w:tc>
          <w:tcPr>
            <w:tcW w:w="700" w:type="dxa"/>
          </w:tcPr>
          <w:p w14:paraId="6B1C7D68" w14:textId="4C4D397E"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2B1E1DFD" w14:textId="3F03E895" w:rsidTr="005800F7">
        <w:trPr>
          <w:trHeight w:val="507"/>
        </w:trPr>
        <w:tc>
          <w:tcPr>
            <w:tcW w:w="555" w:type="dxa"/>
          </w:tcPr>
          <w:p w14:paraId="08FB7F68" w14:textId="3D7147A8" w:rsidR="0030375E" w:rsidRPr="00293D36" w:rsidRDefault="0030375E" w:rsidP="0030375E">
            <w:pPr>
              <w:jc w:val="center"/>
              <w:rPr>
                <w:rFonts w:ascii="Cambria" w:hAnsi="Cambria" w:cstheme="minorHAnsi"/>
                <w:b/>
                <w:sz w:val="24"/>
                <w:szCs w:val="24"/>
              </w:rPr>
            </w:pPr>
            <w:r>
              <w:rPr>
                <w:rFonts w:ascii="Cambria" w:hAnsi="Cambria" w:cstheme="minorHAnsi"/>
                <w:b/>
                <w:sz w:val="24"/>
                <w:szCs w:val="24"/>
              </w:rPr>
              <w:t>5</w:t>
            </w:r>
          </w:p>
        </w:tc>
        <w:tc>
          <w:tcPr>
            <w:tcW w:w="6528" w:type="dxa"/>
          </w:tcPr>
          <w:p w14:paraId="21789CA5" w14:textId="6678D70C"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Explain the differences between repo and reverse r</w:t>
            </w:r>
            <w:r>
              <w:rPr>
                <w:rFonts w:ascii="Cambria" w:hAnsi="Cambria" w:cstheme="minorHAnsi"/>
                <w:bCs/>
                <w:sz w:val="24"/>
                <w:szCs w:val="24"/>
              </w:rPr>
              <w:t>ates</w:t>
            </w:r>
          </w:p>
        </w:tc>
        <w:tc>
          <w:tcPr>
            <w:tcW w:w="1120" w:type="dxa"/>
          </w:tcPr>
          <w:p w14:paraId="1475CA8E" w14:textId="1220265F" w:rsidR="0030375E" w:rsidRPr="00D307C6"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780FE246" w14:textId="3C9FF906" w:rsidR="0030375E" w:rsidRPr="00293D36" w:rsidRDefault="0030375E" w:rsidP="005800F7">
            <w:pPr>
              <w:rPr>
                <w:rFonts w:ascii="Cambria" w:hAnsi="Cambria" w:cstheme="minorHAnsi"/>
                <w:b/>
                <w:sz w:val="24"/>
                <w:szCs w:val="24"/>
              </w:rPr>
            </w:pPr>
            <w:r>
              <w:rPr>
                <w:rFonts w:ascii="Cambria" w:hAnsi="Cambria" w:cstheme="minorHAnsi"/>
                <w:b/>
                <w:sz w:val="24"/>
                <w:szCs w:val="24"/>
                <w:lang w:val="en-IN" w:eastAsia="en-IN"/>
              </w:rPr>
              <w:t>Understanding</w:t>
            </w:r>
          </w:p>
        </w:tc>
        <w:tc>
          <w:tcPr>
            <w:tcW w:w="700" w:type="dxa"/>
          </w:tcPr>
          <w:p w14:paraId="13FE61E4" w14:textId="6F2E330A" w:rsidR="0030375E" w:rsidRDefault="0030375E" w:rsidP="005800F7">
            <w:pPr>
              <w:rPr>
                <w:rFonts w:ascii="Cambria" w:hAnsi="Cambria" w:cstheme="minorHAnsi"/>
                <w:b/>
                <w:sz w:val="24"/>
                <w:szCs w:val="24"/>
              </w:rPr>
            </w:pPr>
            <w:r>
              <w:rPr>
                <w:rFonts w:ascii="Cambria" w:hAnsi="Cambria" w:cstheme="minorHAnsi"/>
                <w:b/>
                <w:sz w:val="24"/>
                <w:szCs w:val="24"/>
              </w:rPr>
              <w:t>CO1</w:t>
            </w:r>
          </w:p>
        </w:tc>
      </w:tr>
      <w:tr w:rsidR="0030375E" w:rsidRPr="00293D36" w14:paraId="39984221" w14:textId="77777777" w:rsidTr="005800F7">
        <w:trPr>
          <w:trHeight w:val="507"/>
        </w:trPr>
        <w:tc>
          <w:tcPr>
            <w:tcW w:w="555" w:type="dxa"/>
          </w:tcPr>
          <w:p w14:paraId="30B19155" w14:textId="212DCF58" w:rsidR="0030375E" w:rsidRDefault="0030375E" w:rsidP="0030375E">
            <w:pPr>
              <w:jc w:val="center"/>
              <w:rPr>
                <w:rFonts w:ascii="Cambria" w:hAnsi="Cambria" w:cstheme="minorHAnsi"/>
                <w:b/>
                <w:sz w:val="24"/>
                <w:szCs w:val="24"/>
              </w:rPr>
            </w:pPr>
            <w:r>
              <w:rPr>
                <w:rFonts w:ascii="Cambria" w:hAnsi="Cambria" w:cstheme="minorHAnsi"/>
                <w:b/>
                <w:sz w:val="24"/>
                <w:szCs w:val="24"/>
              </w:rPr>
              <w:t>6</w:t>
            </w:r>
          </w:p>
        </w:tc>
        <w:tc>
          <w:tcPr>
            <w:tcW w:w="6528" w:type="dxa"/>
          </w:tcPr>
          <w:p w14:paraId="27213243" w14:textId="26FC0EB1"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Recall the salient features of assignment with suitable examples</w:t>
            </w:r>
          </w:p>
        </w:tc>
        <w:tc>
          <w:tcPr>
            <w:tcW w:w="1120" w:type="dxa"/>
          </w:tcPr>
          <w:p w14:paraId="3F920526" w14:textId="09ACD5B8" w:rsidR="0030375E"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5FDC6BF7" w14:textId="7207D480" w:rsidR="0030375E" w:rsidRDefault="0030375E" w:rsidP="005800F7">
            <w:pP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2626CD21" w14:textId="6FCCAF13"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57852C2D" w14:textId="77777777" w:rsidTr="005800F7">
        <w:trPr>
          <w:trHeight w:val="507"/>
        </w:trPr>
        <w:tc>
          <w:tcPr>
            <w:tcW w:w="555" w:type="dxa"/>
          </w:tcPr>
          <w:p w14:paraId="39B1DE9B" w14:textId="75783743" w:rsidR="0030375E" w:rsidRDefault="0030375E" w:rsidP="0030375E">
            <w:pPr>
              <w:jc w:val="center"/>
              <w:rPr>
                <w:rFonts w:ascii="Cambria" w:hAnsi="Cambria" w:cstheme="minorHAnsi"/>
                <w:b/>
                <w:sz w:val="24"/>
                <w:szCs w:val="24"/>
              </w:rPr>
            </w:pPr>
            <w:r>
              <w:rPr>
                <w:rFonts w:ascii="Cambria" w:hAnsi="Cambria" w:cstheme="minorHAnsi"/>
                <w:b/>
                <w:sz w:val="24"/>
                <w:szCs w:val="24"/>
              </w:rPr>
              <w:t>7</w:t>
            </w:r>
          </w:p>
        </w:tc>
        <w:tc>
          <w:tcPr>
            <w:tcW w:w="6528" w:type="dxa"/>
          </w:tcPr>
          <w:p w14:paraId="77B5B1C1" w14:textId="5FAD037B"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Explain the concept of Loan to Value (LTV) ratio with an illustration</w:t>
            </w:r>
          </w:p>
        </w:tc>
        <w:tc>
          <w:tcPr>
            <w:tcW w:w="1120" w:type="dxa"/>
          </w:tcPr>
          <w:p w14:paraId="107123F7" w14:textId="0DA42715" w:rsidR="0030375E"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5F7D6F1B" w14:textId="33F7C785" w:rsidR="0030375E" w:rsidRDefault="0030375E" w:rsidP="005800F7">
            <w:pPr>
              <w:rPr>
                <w:rFonts w:ascii="Cambria" w:hAnsi="Cambria" w:cstheme="minorHAnsi"/>
                <w:b/>
                <w:sz w:val="24"/>
                <w:szCs w:val="24"/>
              </w:rPr>
            </w:pPr>
            <w:r>
              <w:rPr>
                <w:rFonts w:ascii="Cambria" w:hAnsi="Cambria" w:cstheme="minorHAnsi"/>
                <w:b/>
                <w:sz w:val="24"/>
                <w:szCs w:val="24"/>
                <w:lang w:val="en-IN" w:eastAsia="en-IN"/>
              </w:rPr>
              <w:t>Understanding</w:t>
            </w:r>
          </w:p>
        </w:tc>
        <w:tc>
          <w:tcPr>
            <w:tcW w:w="700" w:type="dxa"/>
          </w:tcPr>
          <w:p w14:paraId="6A1C375F" w14:textId="1E325997"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0487653D" w14:textId="77777777" w:rsidTr="005800F7">
        <w:trPr>
          <w:trHeight w:val="507"/>
        </w:trPr>
        <w:tc>
          <w:tcPr>
            <w:tcW w:w="555" w:type="dxa"/>
          </w:tcPr>
          <w:p w14:paraId="33D4D07E" w14:textId="1FECEC72" w:rsidR="0030375E" w:rsidRDefault="0030375E" w:rsidP="0030375E">
            <w:pPr>
              <w:jc w:val="center"/>
              <w:rPr>
                <w:rFonts w:ascii="Cambria" w:hAnsi="Cambria" w:cstheme="minorHAnsi"/>
                <w:b/>
                <w:sz w:val="24"/>
                <w:szCs w:val="24"/>
              </w:rPr>
            </w:pPr>
            <w:r>
              <w:rPr>
                <w:rFonts w:ascii="Cambria" w:hAnsi="Cambria" w:cstheme="minorHAnsi"/>
                <w:b/>
                <w:sz w:val="24"/>
                <w:szCs w:val="24"/>
              </w:rPr>
              <w:lastRenderedPageBreak/>
              <w:t>8</w:t>
            </w:r>
          </w:p>
        </w:tc>
        <w:tc>
          <w:tcPr>
            <w:tcW w:w="6528" w:type="dxa"/>
          </w:tcPr>
          <w:p w14:paraId="064F43F9" w14:textId="54AB3FE9"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Recall the features of National Electronic Funds Transfer (NEFT)</w:t>
            </w:r>
          </w:p>
        </w:tc>
        <w:tc>
          <w:tcPr>
            <w:tcW w:w="1120" w:type="dxa"/>
          </w:tcPr>
          <w:p w14:paraId="29EF64E6" w14:textId="2FA57C29" w:rsidR="0030375E"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5FFEA34B" w14:textId="08EDCE06" w:rsidR="0030375E" w:rsidRDefault="0030375E" w:rsidP="005800F7">
            <w:pP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46CB68FC" w14:textId="7BB70FA5" w:rsidR="0030375E" w:rsidRDefault="0030375E" w:rsidP="005800F7">
            <w:pPr>
              <w:rPr>
                <w:rFonts w:ascii="Cambria" w:hAnsi="Cambria" w:cstheme="minorHAnsi"/>
                <w:b/>
                <w:sz w:val="24"/>
                <w:szCs w:val="24"/>
              </w:rPr>
            </w:pPr>
            <w:r>
              <w:rPr>
                <w:rFonts w:ascii="Cambria" w:hAnsi="Cambria" w:cstheme="minorHAnsi"/>
                <w:b/>
                <w:sz w:val="24"/>
                <w:szCs w:val="24"/>
              </w:rPr>
              <w:t>CO4</w:t>
            </w:r>
          </w:p>
        </w:tc>
      </w:tr>
      <w:tr w:rsidR="0030375E" w:rsidRPr="00293D36" w14:paraId="4FEC3C5E" w14:textId="77777777" w:rsidTr="005800F7">
        <w:trPr>
          <w:trHeight w:val="507"/>
        </w:trPr>
        <w:tc>
          <w:tcPr>
            <w:tcW w:w="555" w:type="dxa"/>
          </w:tcPr>
          <w:p w14:paraId="0703A088" w14:textId="5F37827E" w:rsidR="0030375E" w:rsidRDefault="0030375E" w:rsidP="0030375E">
            <w:pPr>
              <w:jc w:val="center"/>
              <w:rPr>
                <w:rFonts w:ascii="Cambria" w:hAnsi="Cambria" w:cstheme="minorHAnsi"/>
                <w:b/>
                <w:sz w:val="24"/>
                <w:szCs w:val="24"/>
              </w:rPr>
            </w:pPr>
            <w:r>
              <w:rPr>
                <w:rFonts w:ascii="Cambria" w:hAnsi="Cambria" w:cstheme="minorHAnsi"/>
                <w:b/>
                <w:sz w:val="24"/>
                <w:szCs w:val="24"/>
              </w:rPr>
              <w:t>9</w:t>
            </w:r>
          </w:p>
        </w:tc>
        <w:tc>
          <w:tcPr>
            <w:tcW w:w="6528" w:type="dxa"/>
          </w:tcPr>
          <w:p w14:paraId="31322AFE" w14:textId="6CA835F0"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 xml:space="preserve">Recall the salient features of </w:t>
            </w:r>
            <w:r>
              <w:rPr>
                <w:rFonts w:ascii="Cambria" w:hAnsi="Cambria" w:cstheme="minorHAnsi"/>
                <w:bCs/>
                <w:sz w:val="24"/>
                <w:szCs w:val="24"/>
              </w:rPr>
              <w:t>hypothecation</w:t>
            </w:r>
            <w:r w:rsidRPr="008769A4">
              <w:rPr>
                <w:rFonts w:ascii="Cambria" w:hAnsi="Cambria" w:cstheme="minorHAnsi"/>
                <w:bCs/>
                <w:sz w:val="24"/>
                <w:szCs w:val="24"/>
              </w:rPr>
              <w:t xml:space="preserve"> with suitable examples</w:t>
            </w:r>
          </w:p>
        </w:tc>
        <w:tc>
          <w:tcPr>
            <w:tcW w:w="1120" w:type="dxa"/>
          </w:tcPr>
          <w:p w14:paraId="6CA824D8" w14:textId="4D4CCC69" w:rsidR="0030375E" w:rsidRDefault="0030375E" w:rsidP="005800F7">
            <w:pP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099A52C1" w14:textId="3BAD19C7" w:rsidR="0030375E" w:rsidRDefault="0030375E" w:rsidP="005800F7">
            <w:pP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00657954" w14:textId="0FB1783F" w:rsidR="0030375E" w:rsidRDefault="0030375E" w:rsidP="005800F7">
            <w:pPr>
              <w:rPr>
                <w:rFonts w:ascii="Cambria" w:hAnsi="Cambria" w:cstheme="minorHAnsi"/>
                <w:b/>
                <w:sz w:val="24"/>
                <w:szCs w:val="24"/>
              </w:rPr>
            </w:pPr>
            <w:r>
              <w:rPr>
                <w:rFonts w:ascii="Cambria" w:hAnsi="Cambria" w:cstheme="minorHAnsi"/>
                <w:b/>
                <w:sz w:val="24"/>
                <w:szCs w:val="24"/>
              </w:rPr>
              <w:t>CO3</w:t>
            </w:r>
          </w:p>
        </w:tc>
      </w:tr>
      <w:tr w:rsidR="0030375E" w:rsidRPr="00293D36" w14:paraId="2F91C72D" w14:textId="77777777" w:rsidTr="005800F7">
        <w:trPr>
          <w:trHeight w:val="507"/>
        </w:trPr>
        <w:tc>
          <w:tcPr>
            <w:tcW w:w="555" w:type="dxa"/>
          </w:tcPr>
          <w:p w14:paraId="4DFDD388" w14:textId="66D6FB63" w:rsidR="0030375E" w:rsidRDefault="0030375E" w:rsidP="0030375E">
            <w:pPr>
              <w:jc w:val="center"/>
              <w:rPr>
                <w:rFonts w:ascii="Cambria" w:hAnsi="Cambria" w:cstheme="minorHAnsi"/>
                <w:b/>
                <w:sz w:val="24"/>
                <w:szCs w:val="24"/>
              </w:rPr>
            </w:pPr>
            <w:r>
              <w:rPr>
                <w:rFonts w:ascii="Cambria" w:hAnsi="Cambria" w:cstheme="minorHAnsi"/>
                <w:b/>
                <w:sz w:val="24"/>
                <w:szCs w:val="24"/>
              </w:rPr>
              <w:t>10</w:t>
            </w:r>
          </w:p>
        </w:tc>
        <w:tc>
          <w:tcPr>
            <w:tcW w:w="6528" w:type="dxa"/>
          </w:tcPr>
          <w:p w14:paraId="1DA8E10D" w14:textId="16B6E93B" w:rsidR="0030375E" w:rsidRPr="00BC0047" w:rsidRDefault="0030375E" w:rsidP="005800F7">
            <w:pPr>
              <w:rPr>
                <w:rFonts w:ascii="Cambria" w:hAnsi="Cambria" w:cstheme="minorHAnsi"/>
                <w:bCs/>
                <w:sz w:val="24"/>
                <w:szCs w:val="24"/>
              </w:rPr>
            </w:pPr>
            <w:r w:rsidRPr="008769A4">
              <w:rPr>
                <w:rFonts w:ascii="Cambria" w:hAnsi="Cambria" w:cstheme="minorHAnsi"/>
                <w:bCs/>
                <w:sz w:val="24"/>
                <w:szCs w:val="24"/>
              </w:rPr>
              <w:t>Recall the types of deposit accounts</w:t>
            </w:r>
          </w:p>
        </w:tc>
        <w:tc>
          <w:tcPr>
            <w:tcW w:w="1120" w:type="dxa"/>
          </w:tcPr>
          <w:p w14:paraId="72CE5EA0" w14:textId="4A155FD2" w:rsidR="0030375E" w:rsidRDefault="0030375E" w:rsidP="0030375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865" w:type="dxa"/>
          </w:tcPr>
          <w:p w14:paraId="72111516" w14:textId="1D219F65" w:rsidR="0030375E" w:rsidRDefault="0030375E" w:rsidP="0030375E">
            <w:pPr>
              <w:jc w:val="center"/>
              <w:rPr>
                <w:rFonts w:ascii="Cambria" w:hAnsi="Cambria" w:cstheme="minorHAnsi"/>
                <w:b/>
                <w:sz w:val="24"/>
                <w:szCs w:val="24"/>
              </w:rPr>
            </w:pPr>
            <w:r>
              <w:rPr>
                <w:rFonts w:ascii="Cambria" w:hAnsi="Cambria" w:cstheme="minorHAnsi"/>
                <w:b/>
                <w:sz w:val="24"/>
                <w:szCs w:val="24"/>
                <w:lang w:val="en-IN" w:eastAsia="en-IN"/>
              </w:rPr>
              <w:t>Remembering</w:t>
            </w:r>
          </w:p>
        </w:tc>
        <w:tc>
          <w:tcPr>
            <w:tcW w:w="700" w:type="dxa"/>
          </w:tcPr>
          <w:p w14:paraId="1462DBAA" w14:textId="5CCFFBEB" w:rsidR="0030375E" w:rsidRDefault="0030375E" w:rsidP="0030375E">
            <w:pPr>
              <w:jc w:val="center"/>
              <w:rPr>
                <w:rFonts w:ascii="Cambria" w:hAnsi="Cambria" w:cstheme="minorHAnsi"/>
                <w:b/>
                <w:sz w:val="24"/>
                <w:szCs w:val="24"/>
              </w:rPr>
            </w:pPr>
            <w:r>
              <w:rPr>
                <w:rFonts w:ascii="Cambria" w:hAnsi="Cambria" w:cstheme="minorHAnsi"/>
                <w:b/>
                <w:sz w:val="24"/>
                <w:szCs w:val="24"/>
              </w:rPr>
              <w:t>CO2</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1"/>
        <w:gridCol w:w="6834"/>
        <w:gridCol w:w="959"/>
        <w:gridCol w:w="1727"/>
        <w:gridCol w:w="697"/>
      </w:tblGrid>
      <w:tr w:rsidR="004F56E7" w14:paraId="191F90A7" w14:textId="77777777" w:rsidTr="009828F4">
        <w:tc>
          <w:tcPr>
            <w:tcW w:w="10768" w:type="dxa"/>
            <w:gridSpan w:val="5"/>
          </w:tcPr>
          <w:p w14:paraId="34AE2DCB" w14:textId="2379249C"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135982">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p>
        </w:tc>
      </w:tr>
      <w:tr w:rsidR="004F56E7" w:rsidRPr="004F56E7" w14:paraId="399C75D0" w14:textId="77777777" w:rsidTr="000259A3">
        <w:tc>
          <w:tcPr>
            <w:tcW w:w="562" w:type="dxa"/>
          </w:tcPr>
          <w:p w14:paraId="2C590789" w14:textId="7544550E" w:rsidR="004F56E7" w:rsidRPr="004F56E7" w:rsidRDefault="000075CF" w:rsidP="004F56E7">
            <w:pPr>
              <w:jc w:val="center"/>
              <w:rPr>
                <w:rFonts w:ascii="Cambria" w:hAnsi="Cambria" w:cstheme="minorHAnsi"/>
                <w:b/>
              </w:rPr>
            </w:pPr>
            <w:r>
              <w:rPr>
                <w:rFonts w:ascii="Cambria" w:hAnsi="Cambria" w:cstheme="minorHAnsi"/>
                <w:b/>
              </w:rPr>
              <w:t>11</w:t>
            </w:r>
          </w:p>
        </w:tc>
        <w:tc>
          <w:tcPr>
            <w:tcW w:w="7655" w:type="dxa"/>
          </w:tcPr>
          <w:p w14:paraId="08EB58DA" w14:textId="0C3C69CF" w:rsidR="00964794" w:rsidRPr="00105360" w:rsidRDefault="00964794" w:rsidP="00964794">
            <w:pPr>
              <w:jc w:val="both"/>
              <w:rPr>
                <w:rFonts w:ascii="Cambria" w:hAnsi="Cambria" w:cstheme="minorHAnsi"/>
                <w:bCs/>
              </w:rPr>
            </w:pPr>
            <w:r w:rsidRPr="00964794">
              <w:rPr>
                <w:rFonts w:ascii="Cambria" w:hAnsi="Cambria" w:cstheme="minorHAnsi"/>
                <w:bCs/>
              </w:rPr>
              <w:t>Explain the ownership structure of Private Sector Banks (Old &amp; New) in India. Discuss how universal banking is related to the services provided by New Private Sector Banks.</w:t>
            </w:r>
          </w:p>
          <w:p w14:paraId="6E82CDBC" w14:textId="5E0C1F05" w:rsidR="004F56E7" w:rsidRPr="00105360" w:rsidRDefault="004F56E7" w:rsidP="008769A4">
            <w:pPr>
              <w:jc w:val="both"/>
              <w:rPr>
                <w:rFonts w:ascii="Cambria" w:hAnsi="Cambria" w:cstheme="minorHAnsi"/>
                <w:bCs/>
              </w:rPr>
            </w:pPr>
          </w:p>
        </w:tc>
        <w:tc>
          <w:tcPr>
            <w:tcW w:w="992" w:type="dxa"/>
          </w:tcPr>
          <w:p w14:paraId="2B1BA3A1" w14:textId="505E68EE"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5E61148E" w14:textId="47AC16D1" w:rsidR="004F56E7" w:rsidRPr="004F56E7" w:rsidRDefault="004D1940" w:rsidP="004F56E7">
            <w:pPr>
              <w:jc w:val="center"/>
              <w:rPr>
                <w:rFonts w:ascii="Cambria" w:hAnsi="Cambria" w:cstheme="minorHAnsi"/>
                <w:b/>
              </w:rPr>
            </w:pPr>
            <w:r w:rsidRPr="0030375E">
              <w:rPr>
                <w:rFonts w:ascii="Cambria" w:hAnsi="Cambria" w:cstheme="minorHAnsi"/>
                <w:b/>
              </w:rPr>
              <w:t>Understanding</w:t>
            </w:r>
          </w:p>
        </w:tc>
        <w:tc>
          <w:tcPr>
            <w:tcW w:w="708" w:type="dxa"/>
          </w:tcPr>
          <w:p w14:paraId="4D5E66D9" w14:textId="06BE7FD2" w:rsidR="004F56E7" w:rsidRPr="004F56E7" w:rsidRDefault="004F56E7" w:rsidP="004F56E7">
            <w:pPr>
              <w:jc w:val="center"/>
              <w:rPr>
                <w:rFonts w:ascii="Cambria" w:hAnsi="Cambria" w:cstheme="minorHAnsi"/>
                <w:b/>
              </w:rPr>
            </w:pPr>
            <w:r w:rsidRPr="004F56E7">
              <w:rPr>
                <w:rFonts w:ascii="Cambria" w:hAnsi="Cambria" w:cstheme="minorHAnsi"/>
                <w:b/>
              </w:rPr>
              <w:t>CO</w:t>
            </w:r>
            <w:r w:rsidR="00964794">
              <w:rPr>
                <w:rFonts w:ascii="Cambria" w:hAnsi="Cambria" w:cstheme="minorHAnsi"/>
                <w:b/>
              </w:rPr>
              <w:t>1</w:t>
            </w:r>
          </w:p>
        </w:tc>
      </w:tr>
      <w:tr w:rsidR="004F56E7" w:rsidRPr="004F56E7" w14:paraId="39A689B6" w14:textId="77777777" w:rsidTr="00DE088B">
        <w:tc>
          <w:tcPr>
            <w:tcW w:w="10768" w:type="dxa"/>
            <w:gridSpan w:val="5"/>
          </w:tcPr>
          <w:p w14:paraId="06FD2CA6" w14:textId="3D6FFC37" w:rsidR="004F56E7" w:rsidRPr="004F56E7" w:rsidRDefault="00266774" w:rsidP="004F56E7">
            <w:pPr>
              <w:jc w:val="center"/>
              <w:rPr>
                <w:rFonts w:ascii="Cambria" w:hAnsi="Cambria" w:cstheme="minorHAnsi"/>
                <w:b/>
              </w:rPr>
            </w:pPr>
            <w:r w:rsidRPr="004F56E7">
              <w:rPr>
                <w:rFonts w:ascii="Cambria" w:hAnsi="Cambria" w:cstheme="minorHAnsi"/>
                <w:b/>
              </w:rPr>
              <w:t>O</w:t>
            </w:r>
            <w:r w:rsidR="004F56E7" w:rsidRPr="004F56E7">
              <w:rPr>
                <w:rFonts w:ascii="Cambria" w:hAnsi="Cambria" w:cstheme="minorHAnsi"/>
                <w:b/>
              </w:rPr>
              <w:t>r</w:t>
            </w:r>
          </w:p>
        </w:tc>
      </w:tr>
      <w:tr w:rsidR="004F56E7" w:rsidRPr="004F56E7" w14:paraId="43468602" w14:textId="77777777" w:rsidTr="000259A3">
        <w:tc>
          <w:tcPr>
            <w:tcW w:w="562" w:type="dxa"/>
          </w:tcPr>
          <w:p w14:paraId="44FDE7CE" w14:textId="79B4B918" w:rsidR="004F56E7" w:rsidRPr="004F56E7" w:rsidRDefault="000075CF" w:rsidP="004F56E7">
            <w:pPr>
              <w:jc w:val="center"/>
              <w:rPr>
                <w:rFonts w:ascii="Cambria" w:hAnsi="Cambria" w:cstheme="minorHAnsi"/>
                <w:b/>
              </w:rPr>
            </w:pPr>
            <w:r>
              <w:rPr>
                <w:rFonts w:ascii="Cambria" w:hAnsi="Cambria" w:cstheme="minorHAnsi"/>
                <w:b/>
              </w:rPr>
              <w:t>12</w:t>
            </w:r>
          </w:p>
        </w:tc>
        <w:tc>
          <w:tcPr>
            <w:tcW w:w="7655" w:type="dxa"/>
          </w:tcPr>
          <w:p w14:paraId="355B5450" w14:textId="77777777" w:rsidR="00D5438B" w:rsidRDefault="008769A4" w:rsidP="00105360">
            <w:pPr>
              <w:jc w:val="both"/>
              <w:rPr>
                <w:rFonts w:ascii="Cambria" w:hAnsi="Cambria" w:cstheme="minorHAnsi"/>
                <w:bCs/>
              </w:rPr>
            </w:pPr>
            <w:r w:rsidRPr="008769A4">
              <w:rPr>
                <w:rFonts w:ascii="Cambria" w:hAnsi="Cambria" w:cstheme="minorHAnsi"/>
                <w:bCs/>
              </w:rPr>
              <w:t xml:space="preserve">Indian banks have increasingly relied on issuing Certificates of Deposit (CDs) in 2024 to meet liquidity demands during the festive season. </w:t>
            </w:r>
          </w:p>
          <w:p w14:paraId="4007CAE5" w14:textId="73AFABB6" w:rsidR="00105360" w:rsidRPr="00105360" w:rsidRDefault="008769A4" w:rsidP="00105360">
            <w:pPr>
              <w:jc w:val="both"/>
              <w:rPr>
                <w:rFonts w:ascii="Cambria" w:hAnsi="Cambria" w:cstheme="minorHAnsi"/>
                <w:bCs/>
              </w:rPr>
            </w:pPr>
            <w:r w:rsidRPr="008769A4">
              <w:rPr>
                <w:rFonts w:ascii="Cambria" w:hAnsi="Cambria" w:cstheme="minorHAnsi"/>
                <w:bCs/>
              </w:rPr>
              <w:t>Explain how CDs help banks manage liquidity, and describe their features and associated risks for investors.</w:t>
            </w:r>
          </w:p>
          <w:p w14:paraId="5BB297C3" w14:textId="60D91D2A" w:rsidR="004F56E7" w:rsidRPr="00105360" w:rsidRDefault="004F56E7" w:rsidP="00105360">
            <w:pPr>
              <w:jc w:val="both"/>
              <w:rPr>
                <w:rFonts w:ascii="Cambria" w:hAnsi="Cambria" w:cstheme="minorHAnsi"/>
                <w:bCs/>
              </w:rPr>
            </w:pPr>
          </w:p>
        </w:tc>
        <w:tc>
          <w:tcPr>
            <w:tcW w:w="992" w:type="dxa"/>
          </w:tcPr>
          <w:p w14:paraId="6D74EA14" w14:textId="69A1461B" w:rsidR="004F56E7" w:rsidRPr="004F56E7" w:rsidRDefault="004F56E7" w:rsidP="004F56E7">
            <w:pPr>
              <w:jc w:val="center"/>
              <w:rPr>
                <w:rFonts w:ascii="Cambria" w:hAnsi="Cambria" w:cstheme="minorHAnsi"/>
                <w:b/>
              </w:rPr>
            </w:pPr>
            <w:r w:rsidRPr="004F56E7">
              <w:rPr>
                <w:rFonts w:ascii="Cambria" w:hAnsi="Cambria" w:cstheme="minorHAnsi"/>
                <w:b/>
                <w:sz w:val="18"/>
                <w:szCs w:val="18"/>
              </w:rPr>
              <w:t>10 Marks</w:t>
            </w:r>
          </w:p>
        </w:tc>
        <w:tc>
          <w:tcPr>
            <w:tcW w:w="851" w:type="dxa"/>
          </w:tcPr>
          <w:p w14:paraId="39450417" w14:textId="73AA816B" w:rsidR="004F56E7" w:rsidRPr="004F56E7" w:rsidRDefault="0030375E" w:rsidP="004F56E7">
            <w:pPr>
              <w:jc w:val="center"/>
              <w:rPr>
                <w:rFonts w:ascii="Cambria" w:hAnsi="Cambria" w:cstheme="minorHAnsi"/>
                <w:b/>
              </w:rPr>
            </w:pPr>
            <w:r w:rsidRPr="0030375E">
              <w:rPr>
                <w:rFonts w:ascii="Cambria" w:hAnsi="Cambria" w:cstheme="minorHAnsi"/>
                <w:b/>
              </w:rPr>
              <w:t>Understanding</w:t>
            </w:r>
          </w:p>
        </w:tc>
        <w:tc>
          <w:tcPr>
            <w:tcW w:w="708" w:type="dxa"/>
          </w:tcPr>
          <w:p w14:paraId="27BAC5E4" w14:textId="45081FB1" w:rsidR="004F56E7" w:rsidRPr="004F56E7" w:rsidRDefault="004F56E7" w:rsidP="004F56E7">
            <w:pPr>
              <w:jc w:val="center"/>
              <w:rPr>
                <w:rFonts w:ascii="Cambria" w:hAnsi="Cambria" w:cstheme="minorHAnsi"/>
                <w:b/>
              </w:rPr>
            </w:pPr>
            <w:r w:rsidRPr="004F56E7">
              <w:rPr>
                <w:rFonts w:ascii="Cambria" w:hAnsi="Cambria" w:cstheme="minorHAnsi"/>
                <w:b/>
              </w:rPr>
              <w:t>CO</w:t>
            </w:r>
            <w:r w:rsidR="00C46A1B">
              <w:rPr>
                <w:rFonts w:ascii="Cambria" w:hAnsi="Cambria" w:cstheme="minorHAnsi"/>
                <w:b/>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556"/>
        <w:gridCol w:w="7242"/>
        <w:gridCol w:w="975"/>
        <w:gridCol w:w="1292"/>
        <w:gridCol w:w="703"/>
      </w:tblGrid>
      <w:tr w:rsidR="000259A3" w:rsidRPr="004F56E7" w14:paraId="4C314980" w14:textId="77777777" w:rsidTr="000259A3">
        <w:tc>
          <w:tcPr>
            <w:tcW w:w="562" w:type="dxa"/>
          </w:tcPr>
          <w:p w14:paraId="3EA48FB7" w14:textId="72488881" w:rsidR="000259A3" w:rsidRPr="004F56E7" w:rsidRDefault="000075CF" w:rsidP="000259A3">
            <w:pPr>
              <w:jc w:val="center"/>
              <w:rPr>
                <w:rFonts w:ascii="Cambria" w:hAnsi="Cambria" w:cstheme="minorHAnsi"/>
                <w:b/>
              </w:rPr>
            </w:pPr>
            <w:r>
              <w:rPr>
                <w:rFonts w:ascii="Cambria" w:hAnsi="Cambria" w:cstheme="minorHAnsi"/>
                <w:b/>
              </w:rPr>
              <w:t>13</w:t>
            </w:r>
          </w:p>
        </w:tc>
        <w:tc>
          <w:tcPr>
            <w:tcW w:w="7655" w:type="dxa"/>
          </w:tcPr>
          <w:p w14:paraId="00A9ADB4" w14:textId="77777777" w:rsidR="00FF1BDB" w:rsidRPr="00FF1BDB" w:rsidRDefault="00FF1BDB" w:rsidP="00FF1BDB">
            <w:pPr>
              <w:jc w:val="both"/>
              <w:rPr>
                <w:rFonts w:ascii="Cambria" w:hAnsi="Cambria" w:cstheme="minorHAnsi"/>
                <w:bCs/>
              </w:rPr>
            </w:pPr>
            <w:r w:rsidRPr="00FF1BDB">
              <w:rPr>
                <w:rFonts w:ascii="Cambria" w:hAnsi="Cambria" w:cstheme="minorHAnsi"/>
                <w:bCs/>
              </w:rPr>
              <w:t>The flow of money in non-resident Indian (NRI) deposit schemes almost doubled to $10.19 billion between April and September, 2024 (H1Fy25) from $ 5.41 billion put in by overseas Indians in these schemes during the same period in 2023, data released by the Reserve Bank of India (RBI) showed.</w:t>
            </w:r>
          </w:p>
          <w:p w14:paraId="087982A6" w14:textId="77777777" w:rsidR="00FF1BDB" w:rsidRPr="00FF1BDB" w:rsidRDefault="00FF1BDB" w:rsidP="00FF1BDB">
            <w:pPr>
              <w:jc w:val="both"/>
              <w:rPr>
                <w:rFonts w:ascii="Cambria" w:hAnsi="Cambria" w:cstheme="minorHAnsi"/>
                <w:bCs/>
              </w:rPr>
            </w:pPr>
            <w:r w:rsidRPr="00FF1BDB">
              <w:rPr>
                <w:rFonts w:ascii="Cambria" w:hAnsi="Cambria" w:cstheme="minorHAnsi"/>
                <w:bCs/>
              </w:rPr>
              <w:t xml:space="preserve"> </w:t>
            </w:r>
          </w:p>
          <w:p w14:paraId="23040C55" w14:textId="77777777" w:rsidR="000259A3" w:rsidRDefault="00FF1BDB" w:rsidP="00FF1BDB">
            <w:pPr>
              <w:jc w:val="both"/>
              <w:rPr>
                <w:rFonts w:ascii="Cambria" w:hAnsi="Cambria" w:cstheme="minorHAnsi"/>
                <w:bCs/>
              </w:rPr>
            </w:pPr>
            <w:r w:rsidRPr="00FF1BDB">
              <w:rPr>
                <w:rFonts w:ascii="Cambria" w:hAnsi="Cambria" w:cstheme="minorHAnsi"/>
                <w:bCs/>
              </w:rPr>
              <w:t>The total outstanding NRI deposits as of September, 2024 stood at $ 161.62 billion, according to the data released on Friday. The NRI deposit schemes include foreign currency non-resident (FCNR) deposits, non-resident external (NRE) deposits, and non-resident ordinary (NRO) deposits.</w:t>
            </w:r>
          </w:p>
          <w:p w14:paraId="303D4DF5" w14:textId="77777777" w:rsidR="00FF1BDB" w:rsidRDefault="00FF1BDB" w:rsidP="00FF1BDB">
            <w:pPr>
              <w:jc w:val="both"/>
              <w:rPr>
                <w:rFonts w:ascii="Cambria" w:hAnsi="Cambria" w:cstheme="minorHAnsi"/>
                <w:bCs/>
              </w:rPr>
            </w:pPr>
            <w:r w:rsidRPr="00FF1BDB">
              <w:rPr>
                <w:rFonts w:ascii="Cambria" w:hAnsi="Cambria" w:cstheme="minorHAnsi"/>
                <w:bCs/>
              </w:rPr>
              <w:t xml:space="preserve">Describe the concept of NRI as per RBI and FEMA guidelines. </w:t>
            </w:r>
          </w:p>
          <w:p w14:paraId="290190BB" w14:textId="3725626A" w:rsidR="00FF1BDB" w:rsidRDefault="00FF1BDB" w:rsidP="00FF1BDB">
            <w:pPr>
              <w:jc w:val="both"/>
              <w:rPr>
                <w:rFonts w:ascii="Cambria" w:hAnsi="Cambria" w:cstheme="minorHAnsi"/>
                <w:bCs/>
              </w:rPr>
            </w:pPr>
            <w:r w:rsidRPr="00FF1BDB">
              <w:rPr>
                <w:rFonts w:ascii="Cambria" w:hAnsi="Cambria" w:cstheme="minorHAnsi"/>
                <w:bCs/>
              </w:rPr>
              <w:t>Compare between NRE and NRO accounts. Explain the tax implications for a non-resident as per DTAA.</w:t>
            </w:r>
          </w:p>
          <w:p w14:paraId="4A2A3B1E" w14:textId="3895CCE2" w:rsidR="00FF1BDB" w:rsidRPr="004F56E7" w:rsidRDefault="00FF1BDB" w:rsidP="00FF1BDB">
            <w:pPr>
              <w:jc w:val="both"/>
              <w:rPr>
                <w:rFonts w:ascii="Cambria" w:hAnsi="Cambria" w:cstheme="minorHAnsi"/>
                <w:b/>
              </w:rPr>
            </w:pPr>
          </w:p>
        </w:tc>
        <w:tc>
          <w:tcPr>
            <w:tcW w:w="992" w:type="dxa"/>
          </w:tcPr>
          <w:p w14:paraId="512ACD5B" w14:textId="220D2020" w:rsidR="000259A3" w:rsidRPr="004F56E7" w:rsidRDefault="004F56E7" w:rsidP="000259A3">
            <w:pPr>
              <w:jc w:val="center"/>
              <w:rPr>
                <w:rFonts w:ascii="Cambria" w:hAnsi="Cambria" w:cstheme="minorHAnsi"/>
                <w:b/>
              </w:rPr>
            </w:pPr>
            <w:r w:rsidRPr="004F56E7">
              <w:rPr>
                <w:rFonts w:ascii="Cambria" w:hAnsi="Cambria" w:cstheme="minorHAnsi"/>
                <w:b/>
                <w:sz w:val="18"/>
                <w:szCs w:val="18"/>
              </w:rPr>
              <w:t xml:space="preserve">10 </w:t>
            </w:r>
            <w:r w:rsidR="000259A3" w:rsidRPr="004F56E7">
              <w:rPr>
                <w:rFonts w:ascii="Cambria" w:hAnsi="Cambria" w:cstheme="minorHAnsi"/>
                <w:b/>
                <w:sz w:val="18"/>
                <w:szCs w:val="18"/>
              </w:rPr>
              <w:t>Marks</w:t>
            </w:r>
          </w:p>
        </w:tc>
        <w:tc>
          <w:tcPr>
            <w:tcW w:w="851" w:type="dxa"/>
          </w:tcPr>
          <w:p w14:paraId="721505A1" w14:textId="6E875150" w:rsidR="000259A3" w:rsidRPr="004F56E7" w:rsidRDefault="0030375E" w:rsidP="000259A3">
            <w:pPr>
              <w:jc w:val="center"/>
              <w:rPr>
                <w:rFonts w:ascii="Cambria" w:hAnsi="Cambria" w:cstheme="minorHAnsi"/>
                <w:b/>
              </w:rPr>
            </w:pPr>
            <w:r w:rsidRPr="0030375E">
              <w:rPr>
                <w:rFonts w:ascii="Cambria" w:hAnsi="Cambria" w:cstheme="minorHAnsi"/>
                <w:b/>
              </w:rPr>
              <w:t>Evaluating</w:t>
            </w:r>
          </w:p>
        </w:tc>
        <w:tc>
          <w:tcPr>
            <w:tcW w:w="708" w:type="dxa"/>
          </w:tcPr>
          <w:p w14:paraId="2B85EF12" w14:textId="5EDBF0A4" w:rsidR="000259A3" w:rsidRPr="004F56E7" w:rsidRDefault="000259A3" w:rsidP="000259A3">
            <w:pPr>
              <w:jc w:val="center"/>
              <w:rPr>
                <w:rFonts w:ascii="Cambria" w:hAnsi="Cambria" w:cstheme="minorHAnsi"/>
                <w:b/>
              </w:rPr>
            </w:pPr>
            <w:r w:rsidRPr="004F56E7">
              <w:rPr>
                <w:rFonts w:ascii="Cambria" w:hAnsi="Cambria" w:cstheme="minorHAnsi"/>
                <w:b/>
              </w:rPr>
              <w:t>CO</w:t>
            </w:r>
            <w:r w:rsidR="00115346">
              <w:rPr>
                <w:rFonts w:ascii="Cambria" w:hAnsi="Cambria" w:cstheme="minorHAnsi"/>
                <w:b/>
              </w:rPr>
              <w:t>2</w:t>
            </w:r>
          </w:p>
        </w:tc>
      </w:tr>
      <w:tr w:rsidR="000259A3" w:rsidRPr="004F56E7" w14:paraId="664C577E" w14:textId="77777777" w:rsidTr="00AF3184">
        <w:tc>
          <w:tcPr>
            <w:tcW w:w="10768" w:type="dxa"/>
            <w:gridSpan w:val="5"/>
          </w:tcPr>
          <w:p w14:paraId="1E560D63" w14:textId="7F33183C" w:rsidR="000259A3" w:rsidRPr="004F56E7" w:rsidRDefault="00266774" w:rsidP="000259A3">
            <w:pPr>
              <w:jc w:val="center"/>
              <w:rPr>
                <w:rFonts w:ascii="Cambria" w:hAnsi="Cambria" w:cstheme="minorHAnsi"/>
                <w:b/>
              </w:rPr>
            </w:pPr>
            <w:r w:rsidRPr="004F56E7">
              <w:rPr>
                <w:rFonts w:ascii="Cambria" w:hAnsi="Cambria" w:cstheme="minorHAnsi"/>
                <w:b/>
              </w:rPr>
              <w:t>O</w:t>
            </w:r>
            <w:r w:rsidR="000259A3" w:rsidRPr="004F56E7">
              <w:rPr>
                <w:rFonts w:ascii="Cambria" w:hAnsi="Cambria" w:cstheme="minorHAnsi"/>
                <w:b/>
              </w:rPr>
              <w:t>r</w:t>
            </w:r>
          </w:p>
        </w:tc>
      </w:tr>
      <w:tr w:rsidR="000259A3" w:rsidRPr="004F56E7" w14:paraId="49BD40AF" w14:textId="77777777" w:rsidTr="000259A3">
        <w:tc>
          <w:tcPr>
            <w:tcW w:w="562" w:type="dxa"/>
          </w:tcPr>
          <w:p w14:paraId="19C57662" w14:textId="1725EC3D" w:rsidR="000259A3" w:rsidRPr="004F56E7" w:rsidRDefault="000075CF" w:rsidP="000259A3">
            <w:pPr>
              <w:jc w:val="center"/>
              <w:rPr>
                <w:rFonts w:ascii="Cambria" w:hAnsi="Cambria" w:cstheme="minorHAnsi"/>
                <w:b/>
              </w:rPr>
            </w:pPr>
            <w:r>
              <w:rPr>
                <w:rFonts w:ascii="Cambria" w:hAnsi="Cambria" w:cstheme="minorHAnsi"/>
                <w:b/>
              </w:rPr>
              <w:lastRenderedPageBreak/>
              <w:t>14</w:t>
            </w:r>
          </w:p>
        </w:tc>
        <w:tc>
          <w:tcPr>
            <w:tcW w:w="7655" w:type="dxa"/>
          </w:tcPr>
          <w:p w14:paraId="1832F480" w14:textId="4625A422" w:rsidR="00FF1BDB" w:rsidRDefault="00FF1BDB" w:rsidP="00D5438B">
            <w:pPr>
              <w:jc w:val="both"/>
              <w:rPr>
                <w:rFonts w:ascii="Cambria" w:hAnsi="Cambria" w:cstheme="minorHAnsi"/>
                <w:bCs/>
              </w:rPr>
            </w:pPr>
            <w:r w:rsidRPr="00FF1BDB">
              <w:rPr>
                <w:rFonts w:ascii="Cambria" w:hAnsi="Cambria" w:cstheme="minorHAnsi"/>
                <w:bCs/>
              </w:rPr>
              <w:t xml:space="preserve"> </w:t>
            </w:r>
            <w:r w:rsidR="00D5438B" w:rsidRPr="00D5438B">
              <w:rPr>
                <w:rFonts w:ascii="Cambria" w:hAnsi="Cambria" w:cstheme="minorHAnsi"/>
                <w:bCs/>
              </w:rPr>
              <w:t xml:space="preserve">India’s lower mortgage-to-GDP ratio compared to its peers provides a wide scope for growth in mortgage finance, HDFC </w:t>
            </w:r>
            <w:proofErr w:type="spellStart"/>
            <w:r w:rsidR="00D5438B" w:rsidRPr="00D5438B">
              <w:rPr>
                <w:rFonts w:ascii="Cambria" w:hAnsi="Cambria" w:cstheme="minorHAnsi"/>
                <w:bCs/>
              </w:rPr>
              <w:t>Ltd’s</w:t>
            </w:r>
            <w:proofErr w:type="spellEnd"/>
            <w:r w:rsidR="00D5438B" w:rsidRPr="00D5438B">
              <w:rPr>
                <w:rFonts w:ascii="Cambria" w:hAnsi="Cambria" w:cstheme="minorHAnsi"/>
                <w:bCs/>
              </w:rPr>
              <w:t xml:space="preserve"> Chairman Deepak Parekh </w:t>
            </w:r>
            <w:r w:rsidR="00D5438B">
              <w:rPr>
                <w:rFonts w:ascii="Cambria" w:hAnsi="Cambria" w:cstheme="minorHAnsi"/>
                <w:bCs/>
              </w:rPr>
              <w:t>had commented in an investor</w:t>
            </w:r>
            <w:r w:rsidR="00115346">
              <w:rPr>
                <w:rFonts w:ascii="Cambria" w:hAnsi="Cambria" w:cstheme="minorHAnsi"/>
                <w:bCs/>
              </w:rPr>
              <w:t>s’</w:t>
            </w:r>
            <w:r w:rsidR="00D5438B">
              <w:rPr>
                <w:rFonts w:ascii="Cambria" w:hAnsi="Cambria" w:cstheme="minorHAnsi"/>
                <w:bCs/>
              </w:rPr>
              <w:t xml:space="preserve"> meeting. </w:t>
            </w:r>
            <w:r w:rsidR="00D5438B" w:rsidRPr="00D5438B">
              <w:rPr>
                <w:rFonts w:ascii="Cambria" w:hAnsi="Cambria" w:cstheme="minorHAnsi"/>
                <w:bCs/>
              </w:rPr>
              <w:t>At just 11 per cent, India’s mortgage-to-GDP ratio is low compared to countries like China, Malaysia and Singapore. It is also significantly lower than much of the Western world where the ratio is upwards of 60 to 90 per cent, he said.</w:t>
            </w:r>
          </w:p>
          <w:p w14:paraId="0361AD07" w14:textId="6E89FEB5" w:rsidR="00D5438B" w:rsidRPr="00D5438B" w:rsidRDefault="00D5438B" w:rsidP="00D5438B">
            <w:pPr>
              <w:jc w:val="both"/>
              <w:rPr>
                <w:rFonts w:ascii="Cambria" w:hAnsi="Cambria" w:cstheme="minorHAnsi"/>
                <w:bCs/>
              </w:rPr>
            </w:pPr>
            <w:r w:rsidRPr="00D5438B">
              <w:rPr>
                <w:rFonts w:ascii="Cambria" w:hAnsi="Cambria" w:cstheme="minorHAnsi"/>
                <w:bCs/>
              </w:rPr>
              <w:t xml:space="preserve">Analyze the concept of Mortgages under Section 58 of transfer of Property Act. Describe the various kind of mortgages. </w:t>
            </w:r>
          </w:p>
          <w:p w14:paraId="475B5FDF" w14:textId="55379E90" w:rsidR="00D5438B" w:rsidRPr="00FF1BDB" w:rsidRDefault="00D5438B" w:rsidP="00D5438B">
            <w:pPr>
              <w:jc w:val="both"/>
              <w:rPr>
                <w:rFonts w:ascii="Cambria" w:hAnsi="Cambria" w:cstheme="minorHAnsi"/>
                <w:bCs/>
              </w:rPr>
            </w:pPr>
            <w:r w:rsidRPr="00D5438B">
              <w:rPr>
                <w:rFonts w:ascii="Cambria" w:hAnsi="Cambria" w:cstheme="minorHAnsi"/>
                <w:bCs/>
              </w:rPr>
              <w:t>Explain the concept of reverse mortgages and highlight its salient features</w:t>
            </w:r>
          </w:p>
        </w:tc>
        <w:tc>
          <w:tcPr>
            <w:tcW w:w="992" w:type="dxa"/>
          </w:tcPr>
          <w:p w14:paraId="1779D8CA" w14:textId="1281C9AE" w:rsidR="000259A3" w:rsidRPr="004F56E7" w:rsidRDefault="004F56E7" w:rsidP="000259A3">
            <w:pPr>
              <w:jc w:val="center"/>
              <w:rPr>
                <w:rFonts w:ascii="Cambria" w:hAnsi="Cambria" w:cstheme="minorHAnsi"/>
                <w:b/>
              </w:rPr>
            </w:pPr>
            <w:r w:rsidRPr="00F86340">
              <w:rPr>
                <w:rFonts w:ascii="Cambria" w:hAnsi="Cambria" w:cstheme="minorHAnsi"/>
                <w:b/>
                <w:sz w:val="18"/>
                <w:szCs w:val="18"/>
              </w:rPr>
              <w:t xml:space="preserve">10 </w:t>
            </w:r>
            <w:r w:rsidR="000259A3" w:rsidRPr="00F86340">
              <w:rPr>
                <w:rFonts w:ascii="Cambria" w:hAnsi="Cambria" w:cstheme="minorHAnsi"/>
                <w:b/>
                <w:sz w:val="18"/>
                <w:szCs w:val="18"/>
              </w:rPr>
              <w:t>Marks</w:t>
            </w:r>
          </w:p>
        </w:tc>
        <w:tc>
          <w:tcPr>
            <w:tcW w:w="851" w:type="dxa"/>
          </w:tcPr>
          <w:p w14:paraId="387E6AA4" w14:textId="602CF2A0" w:rsidR="000259A3" w:rsidRPr="004F56E7" w:rsidRDefault="0030375E" w:rsidP="000259A3">
            <w:pPr>
              <w:jc w:val="center"/>
              <w:rPr>
                <w:rFonts w:ascii="Cambria" w:hAnsi="Cambria" w:cstheme="minorHAnsi"/>
                <w:b/>
              </w:rPr>
            </w:pPr>
            <w:r w:rsidRPr="0030375E">
              <w:rPr>
                <w:rFonts w:ascii="Cambria" w:hAnsi="Cambria" w:cstheme="minorHAnsi"/>
                <w:b/>
              </w:rPr>
              <w:t>Analyzing</w:t>
            </w:r>
          </w:p>
        </w:tc>
        <w:tc>
          <w:tcPr>
            <w:tcW w:w="708" w:type="dxa"/>
          </w:tcPr>
          <w:p w14:paraId="64CDE453" w14:textId="24C0C3CB" w:rsidR="000259A3" w:rsidRPr="004F56E7" w:rsidRDefault="000259A3" w:rsidP="000259A3">
            <w:pPr>
              <w:jc w:val="center"/>
              <w:rPr>
                <w:rFonts w:ascii="Cambria" w:hAnsi="Cambria" w:cstheme="minorHAnsi"/>
                <w:b/>
              </w:rPr>
            </w:pPr>
            <w:r w:rsidRPr="004F56E7">
              <w:rPr>
                <w:rFonts w:ascii="Cambria" w:hAnsi="Cambria" w:cstheme="minorHAnsi"/>
                <w:b/>
              </w:rPr>
              <w:t>CO</w:t>
            </w:r>
            <w:r w:rsidR="00C46A1B">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0"/>
        <w:gridCol w:w="6837"/>
        <w:gridCol w:w="957"/>
        <w:gridCol w:w="1727"/>
        <w:gridCol w:w="697"/>
      </w:tblGrid>
      <w:tr w:rsidR="00135982" w:rsidRPr="004F56E7" w14:paraId="31DD4C5F" w14:textId="77777777" w:rsidTr="00764D86">
        <w:tc>
          <w:tcPr>
            <w:tcW w:w="562" w:type="dxa"/>
          </w:tcPr>
          <w:p w14:paraId="28E488F4" w14:textId="24D91CDF" w:rsidR="00135982" w:rsidRPr="004F56E7" w:rsidRDefault="000075CF" w:rsidP="00764D86">
            <w:pPr>
              <w:jc w:val="center"/>
              <w:rPr>
                <w:rFonts w:ascii="Cambria" w:hAnsi="Cambria" w:cstheme="minorHAnsi"/>
                <w:b/>
              </w:rPr>
            </w:pPr>
            <w:r>
              <w:rPr>
                <w:rFonts w:ascii="Cambria" w:hAnsi="Cambria" w:cstheme="minorHAnsi"/>
                <w:b/>
              </w:rPr>
              <w:t>15</w:t>
            </w:r>
          </w:p>
        </w:tc>
        <w:tc>
          <w:tcPr>
            <w:tcW w:w="7655" w:type="dxa"/>
          </w:tcPr>
          <w:p w14:paraId="111CAACD" w14:textId="1B644084" w:rsidR="00C37868" w:rsidRPr="00B9505D" w:rsidRDefault="00C37868" w:rsidP="00C37868">
            <w:pPr>
              <w:jc w:val="both"/>
              <w:rPr>
                <w:rFonts w:ascii="Cambria" w:hAnsi="Cambria" w:cstheme="minorHAnsi"/>
                <w:bCs/>
              </w:rPr>
            </w:pPr>
            <w:r w:rsidRPr="00B9505D">
              <w:rPr>
                <w:rFonts w:ascii="Cambria" w:hAnsi="Cambria" w:cstheme="minorHAnsi"/>
                <w:bCs/>
              </w:rPr>
              <w:t xml:space="preserve">State-owned Punjab &amp; Sind Bank on </w:t>
            </w:r>
            <w:r w:rsidR="00C6143D">
              <w:rPr>
                <w:rFonts w:ascii="Cambria" w:hAnsi="Cambria" w:cstheme="minorHAnsi"/>
                <w:bCs/>
              </w:rPr>
              <w:t>November 2024,</w:t>
            </w:r>
            <w:r w:rsidRPr="00B9505D">
              <w:rPr>
                <w:rFonts w:ascii="Cambria" w:hAnsi="Cambria" w:cstheme="minorHAnsi"/>
                <w:bCs/>
              </w:rPr>
              <w:t xml:space="preserve"> said it has launched e-Bank Guarantee (e-BG) facility in partnership with National e-Governance Services Ltd (</w:t>
            </w:r>
            <w:proofErr w:type="spellStart"/>
            <w:r w:rsidRPr="00B9505D">
              <w:rPr>
                <w:rFonts w:ascii="Cambria" w:hAnsi="Cambria" w:cstheme="minorHAnsi"/>
                <w:bCs/>
              </w:rPr>
              <w:t>NeSL</w:t>
            </w:r>
            <w:proofErr w:type="spellEnd"/>
            <w:r w:rsidRPr="00B9505D">
              <w:rPr>
                <w:rFonts w:ascii="Cambria" w:hAnsi="Cambria" w:cstheme="minorHAnsi"/>
                <w:bCs/>
              </w:rPr>
              <w:t xml:space="preserve">) that replaces the paper-based BG issuance process with e-stamping and e-signatures. With the secured transmission and enhanced transparency, beneficiaries will save efforts and time in the verification of physical BGs. </w:t>
            </w:r>
          </w:p>
          <w:p w14:paraId="1BEADF0D" w14:textId="77777777" w:rsidR="00135982" w:rsidRPr="00B9505D" w:rsidRDefault="00C37868" w:rsidP="00C37868">
            <w:pPr>
              <w:jc w:val="both"/>
              <w:rPr>
                <w:rFonts w:ascii="Cambria" w:hAnsi="Cambria" w:cstheme="minorHAnsi"/>
                <w:bCs/>
              </w:rPr>
            </w:pPr>
            <w:r w:rsidRPr="00B9505D">
              <w:rPr>
                <w:rFonts w:ascii="Cambria" w:hAnsi="Cambria" w:cstheme="minorHAnsi"/>
                <w:bCs/>
              </w:rPr>
              <w:t>Explain the concept of Bank Guarantees (BGs) and its various types</w:t>
            </w:r>
          </w:p>
          <w:p w14:paraId="6266CA9C" w14:textId="06923A27" w:rsidR="00B9505D" w:rsidRPr="00B9505D" w:rsidRDefault="00B9505D" w:rsidP="00C37868">
            <w:pPr>
              <w:jc w:val="both"/>
              <w:rPr>
                <w:rFonts w:ascii="Cambria" w:hAnsi="Cambria" w:cstheme="minorHAnsi"/>
                <w:bCs/>
              </w:rPr>
            </w:pPr>
            <w:r w:rsidRPr="00B9505D">
              <w:rPr>
                <w:rFonts w:ascii="Cambria" w:hAnsi="Cambria" w:cstheme="minorHAnsi"/>
                <w:bCs/>
              </w:rPr>
              <w:t>Analyze the characteristics of asset-based lending with relevant examples.</w:t>
            </w:r>
          </w:p>
        </w:tc>
        <w:tc>
          <w:tcPr>
            <w:tcW w:w="992" w:type="dxa"/>
          </w:tcPr>
          <w:p w14:paraId="1C77B7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t>10 Marks</w:t>
            </w:r>
          </w:p>
        </w:tc>
        <w:tc>
          <w:tcPr>
            <w:tcW w:w="851" w:type="dxa"/>
          </w:tcPr>
          <w:p w14:paraId="37D82FEE" w14:textId="5EB8191E" w:rsidR="00135982" w:rsidRPr="004F56E7" w:rsidRDefault="0030375E" w:rsidP="00764D86">
            <w:pPr>
              <w:jc w:val="center"/>
              <w:rPr>
                <w:rFonts w:ascii="Cambria" w:hAnsi="Cambria" w:cstheme="minorHAnsi"/>
                <w:b/>
              </w:rPr>
            </w:pPr>
            <w:r w:rsidRPr="0030375E">
              <w:rPr>
                <w:rFonts w:ascii="Cambria" w:hAnsi="Cambria" w:cstheme="minorHAnsi"/>
                <w:b/>
              </w:rPr>
              <w:t>Analyzing</w:t>
            </w:r>
          </w:p>
        </w:tc>
        <w:tc>
          <w:tcPr>
            <w:tcW w:w="708" w:type="dxa"/>
          </w:tcPr>
          <w:p w14:paraId="7BB38AB5" w14:textId="4F4DF537" w:rsidR="00135982" w:rsidRPr="004F56E7" w:rsidRDefault="00135982" w:rsidP="00764D86">
            <w:pPr>
              <w:jc w:val="center"/>
              <w:rPr>
                <w:rFonts w:ascii="Cambria" w:hAnsi="Cambria" w:cstheme="minorHAnsi"/>
                <w:b/>
              </w:rPr>
            </w:pPr>
            <w:r w:rsidRPr="004F56E7">
              <w:rPr>
                <w:rFonts w:ascii="Cambria" w:hAnsi="Cambria" w:cstheme="minorHAnsi"/>
                <w:b/>
              </w:rPr>
              <w:t>CO</w:t>
            </w:r>
            <w:r w:rsidR="00C37868">
              <w:rPr>
                <w:rFonts w:ascii="Cambria" w:hAnsi="Cambria" w:cstheme="minorHAnsi"/>
                <w:b/>
              </w:rPr>
              <w:t>3</w:t>
            </w:r>
          </w:p>
        </w:tc>
      </w:tr>
      <w:tr w:rsidR="00135982" w:rsidRPr="004F56E7" w14:paraId="354B75C8" w14:textId="77777777" w:rsidTr="00764D86">
        <w:tc>
          <w:tcPr>
            <w:tcW w:w="10768" w:type="dxa"/>
            <w:gridSpan w:val="5"/>
          </w:tcPr>
          <w:p w14:paraId="11C7B3DA" w14:textId="37711A48" w:rsidR="00135982" w:rsidRPr="004F56E7" w:rsidRDefault="00266774" w:rsidP="00764D86">
            <w:pPr>
              <w:jc w:val="center"/>
              <w:rPr>
                <w:rFonts w:ascii="Cambria" w:hAnsi="Cambria" w:cstheme="minorHAnsi"/>
                <w:b/>
              </w:rPr>
            </w:pPr>
            <w:r w:rsidRPr="004F56E7">
              <w:rPr>
                <w:rFonts w:ascii="Cambria" w:hAnsi="Cambria" w:cstheme="minorHAnsi"/>
                <w:b/>
              </w:rPr>
              <w:t>O</w:t>
            </w:r>
            <w:r w:rsidR="00135982" w:rsidRPr="004F56E7">
              <w:rPr>
                <w:rFonts w:ascii="Cambria" w:hAnsi="Cambria" w:cstheme="minorHAnsi"/>
                <w:b/>
              </w:rPr>
              <w:t>r</w:t>
            </w:r>
          </w:p>
        </w:tc>
      </w:tr>
      <w:tr w:rsidR="00135982" w:rsidRPr="004F56E7" w14:paraId="63951740" w14:textId="77777777" w:rsidTr="00764D86">
        <w:tc>
          <w:tcPr>
            <w:tcW w:w="562" w:type="dxa"/>
          </w:tcPr>
          <w:p w14:paraId="2AF24D5A" w14:textId="004BF28B" w:rsidR="00135982" w:rsidRPr="004F56E7" w:rsidRDefault="000075CF" w:rsidP="00764D86">
            <w:pPr>
              <w:jc w:val="center"/>
              <w:rPr>
                <w:rFonts w:ascii="Cambria" w:hAnsi="Cambria" w:cstheme="minorHAnsi"/>
                <w:b/>
              </w:rPr>
            </w:pPr>
            <w:r>
              <w:rPr>
                <w:rFonts w:ascii="Cambria" w:hAnsi="Cambria" w:cstheme="minorHAnsi"/>
                <w:b/>
              </w:rPr>
              <w:t>16</w:t>
            </w:r>
          </w:p>
        </w:tc>
        <w:tc>
          <w:tcPr>
            <w:tcW w:w="7655" w:type="dxa"/>
          </w:tcPr>
          <w:p w14:paraId="5E8A780B" w14:textId="5B5992D5" w:rsidR="00964794" w:rsidRDefault="00964794" w:rsidP="00964794">
            <w:pPr>
              <w:jc w:val="both"/>
              <w:rPr>
                <w:rFonts w:ascii="Cambria" w:hAnsi="Cambria" w:cstheme="minorHAnsi"/>
                <w:bCs/>
              </w:rPr>
            </w:pPr>
            <w:r w:rsidRPr="00964794">
              <w:rPr>
                <w:rFonts w:ascii="Cambria" w:hAnsi="Cambria" w:cstheme="minorHAnsi"/>
                <w:bCs/>
              </w:rPr>
              <w:t>Indian scheduled commercial banks' gross NPA ratio was down to a multi-year low of 2.8 per cent while the net NPA ratio fell to 0.6 per cent at end of March 2024, the Reserve Bank of India said in its 29th Financial Stability Report</w:t>
            </w:r>
            <w:r>
              <w:rPr>
                <w:rFonts w:ascii="Cambria" w:hAnsi="Cambria" w:cstheme="minorHAnsi"/>
                <w:bCs/>
              </w:rPr>
              <w:t>.</w:t>
            </w:r>
            <w:r>
              <w:t xml:space="preserve"> </w:t>
            </w:r>
            <w:r w:rsidRPr="00964794">
              <w:rPr>
                <w:rFonts w:ascii="Cambria" w:hAnsi="Cambria" w:cstheme="minorHAnsi"/>
                <w:bCs/>
              </w:rPr>
              <w:t>SCBs have been boosted by rising profitability and declining nonperforming assets, RBI said. SCBs' return on assets (</w:t>
            </w:r>
            <w:proofErr w:type="spellStart"/>
            <w:r w:rsidRPr="00964794">
              <w:rPr>
                <w:rFonts w:ascii="Cambria" w:hAnsi="Cambria" w:cstheme="minorHAnsi"/>
                <w:bCs/>
              </w:rPr>
              <w:t>RoA</w:t>
            </w:r>
            <w:proofErr w:type="spellEnd"/>
            <w:r w:rsidRPr="00964794">
              <w:rPr>
                <w:rFonts w:ascii="Cambria" w:hAnsi="Cambria" w:cstheme="minorHAnsi"/>
                <w:bCs/>
              </w:rPr>
              <w:t>) and return on equity (</w:t>
            </w:r>
            <w:proofErr w:type="spellStart"/>
            <w:r w:rsidRPr="00964794">
              <w:rPr>
                <w:rFonts w:ascii="Cambria" w:hAnsi="Cambria" w:cstheme="minorHAnsi"/>
                <w:bCs/>
              </w:rPr>
              <w:t>RoE</w:t>
            </w:r>
            <w:proofErr w:type="spellEnd"/>
            <w:r w:rsidRPr="00964794">
              <w:rPr>
                <w:rFonts w:ascii="Cambria" w:hAnsi="Cambria" w:cstheme="minorHAnsi"/>
                <w:bCs/>
              </w:rPr>
              <w:t>) are close to decadal highs at 1.3 per cent and 13.8 per cent, RBI noted.</w:t>
            </w:r>
          </w:p>
          <w:p w14:paraId="6DDF5FBA" w14:textId="77777777" w:rsidR="00964794" w:rsidRPr="00964794" w:rsidRDefault="00964794" w:rsidP="00964794">
            <w:pPr>
              <w:jc w:val="both"/>
              <w:rPr>
                <w:rFonts w:ascii="Cambria" w:hAnsi="Cambria" w:cstheme="minorHAnsi"/>
                <w:bCs/>
              </w:rPr>
            </w:pPr>
            <w:r w:rsidRPr="00964794">
              <w:rPr>
                <w:rFonts w:ascii="Cambria" w:hAnsi="Cambria" w:cstheme="minorHAnsi"/>
                <w:bCs/>
              </w:rPr>
              <w:t>Explain the asset classifications under Non-Performing Assets (NPAs)</w:t>
            </w:r>
          </w:p>
          <w:p w14:paraId="74DF889F" w14:textId="1E0536CA" w:rsidR="00964794" w:rsidRPr="00964794" w:rsidRDefault="00964794" w:rsidP="00964794">
            <w:pPr>
              <w:jc w:val="both"/>
              <w:rPr>
                <w:rFonts w:ascii="Cambria" w:hAnsi="Cambria" w:cstheme="minorHAnsi"/>
                <w:bCs/>
              </w:rPr>
            </w:pPr>
            <w:r>
              <w:rPr>
                <w:rFonts w:ascii="Cambria" w:hAnsi="Cambria" w:cstheme="minorHAnsi"/>
                <w:bCs/>
              </w:rPr>
              <w:t>Explain</w:t>
            </w:r>
            <w:r w:rsidRPr="00964794">
              <w:rPr>
                <w:rFonts w:ascii="Cambria" w:hAnsi="Cambria" w:cstheme="minorHAnsi"/>
                <w:bCs/>
              </w:rPr>
              <w:t xml:space="preserve"> the importance of Asset Reconstruction Companies (ARCs)</w:t>
            </w:r>
          </w:p>
          <w:p w14:paraId="012C3716" w14:textId="77777777" w:rsidR="00964794" w:rsidRPr="00964794" w:rsidRDefault="00964794" w:rsidP="00964794">
            <w:pPr>
              <w:jc w:val="both"/>
              <w:rPr>
                <w:rFonts w:ascii="Cambria" w:hAnsi="Cambria" w:cstheme="minorHAnsi"/>
                <w:bCs/>
              </w:rPr>
            </w:pPr>
          </w:p>
          <w:p w14:paraId="2C8E4B6A" w14:textId="1662EB78" w:rsidR="00C37868" w:rsidRPr="00C37868" w:rsidRDefault="00C37868" w:rsidP="00964794">
            <w:pPr>
              <w:jc w:val="both"/>
              <w:rPr>
                <w:rFonts w:ascii="Cambria" w:hAnsi="Cambria" w:cstheme="minorHAnsi"/>
                <w:bCs/>
              </w:rPr>
            </w:pPr>
          </w:p>
        </w:tc>
        <w:tc>
          <w:tcPr>
            <w:tcW w:w="992" w:type="dxa"/>
          </w:tcPr>
          <w:p w14:paraId="69EFF38D"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355F6474" w14:textId="584A628A" w:rsidR="00135982" w:rsidRPr="004F56E7" w:rsidRDefault="0030375E" w:rsidP="00764D86">
            <w:pPr>
              <w:jc w:val="center"/>
              <w:rPr>
                <w:rFonts w:ascii="Cambria" w:hAnsi="Cambria" w:cstheme="minorHAnsi"/>
                <w:b/>
              </w:rPr>
            </w:pPr>
            <w:r w:rsidRPr="0030375E">
              <w:rPr>
                <w:rFonts w:ascii="Cambria" w:hAnsi="Cambria" w:cstheme="minorHAnsi"/>
                <w:b/>
              </w:rPr>
              <w:t>Understanding</w:t>
            </w:r>
          </w:p>
        </w:tc>
        <w:tc>
          <w:tcPr>
            <w:tcW w:w="708" w:type="dxa"/>
          </w:tcPr>
          <w:p w14:paraId="279D9620" w14:textId="74A10ADD" w:rsidR="00135982" w:rsidRPr="004F56E7" w:rsidRDefault="00135982" w:rsidP="00764D86">
            <w:pPr>
              <w:jc w:val="center"/>
              <w:rPr>
                <w:rFonts w:ascii="Cambria" w:hAnsi="Cambria" w:cstheme="minorHAnsi"/>
                <w:b/>
              </w:rPr>
            </w:pPr>
            <w:r w:rsidRPr="004F56E7">
              <w:rPr>
                <w:rFonts w:ascii="Cambria" w:hAnsi="Cambria" w:cstheme="minorHAnsi"/>
                <w:b/>
              </w:rPr>
              <w:t>CO</w:t>
            </w:r>
            <w:r w:rsidR="00964794">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7"/>
        <w:gridCol w:w="7314"/>
        <w:gridCol w:w="977"/>
        <w:gridCol w:w="1217"/>
        <w:gridCol w:w="703"/>
      </w:tblGrid>
      <w:tr w:rsidR="00135982" w:rsidRPr="004F56E7" w14:paraId="6FBA9F58" w14:textId="77777777" w:rsidTr="00764D86">
        <w:tc>
          <w:tcPr>
            <w:tcW w:w="562" w:type="dxa"/>
          </w:tcPr>
          <w:p w14:paraId="5333B48E" w14:textId="0A89B1CC" w:rsidR="00135982" w:rsidRPr="004F56E7" w:rsidRDefault="000075CF" w:rsidP="00764D86">
            <w:pPr>
              <w:jc w:val="center"/>
              <w:rPr>
                <w:rFonts w:ascii="Cambria" w:hAnsi="Cambria" w:cstheme="minorHAnsi"/>
                <w:b/>
              </w:rPr>
            </w:pPr>
            <w:r>
              <w:rPr>
                <w:rFonts w:ascii="Cambria" w:hAnsi="Cambria" w:cstheme="minorHAnsi"/>
                <w:b/>
              </w:rPr>
              <w:t>17</w:t>
            </w:r>
          </w:p>
        </w:tc>
        <w:tc>
          <w:tcPr>
            <w:tcW w:w="7655" w:type="dxa"/>
          </w:tcPr>
          <w:p w14:paraId="536EC8DD" w14:textId="77777777" w:rsidR="00C37868" w:rsidRDefault="00DB1054" w:rsidP="00C37868">
            <w:pPr>
              <w:jc w:val="both"/>
              <w:rPr>
                <w:rFonts w:ascii="Cambria" w:hAnsi="Cambria" w:cstheme="minorHAnsi"/>
                <w:bCs/>
              </w:rPr>
            </w:pPr>
            <w:r w:rsidRPr="00DB1054">
              <w:rPr>
                <w:rFonts w:ascii="Cambria" w:hAnsi="Cambria" w:cstheme="minorHAnsi"/>
                <w:bCs/>
              </w:rPr>
              <w:t xml:space="preserve">State Bank of India (SBI) raised </w:t>
            </w:r>
            <w:proofErr w:type="spellStart"/>
            <w:r w:rsidRPr="00DB1054">
              <w:rPr>
                <w:rFonts w:ascii="Cambria" w:hAnsi="Cambria" w:cstheme="minorHAnsi"/>
                <w:bCs/>
              </w:rPr>
              <w:t>Rs</w:t>
            </w:r>
            <w:proofErr w:type="spellEnd"/>
            <w:r w:rsidRPr="00DB1054">
              <w:rPr>
                <w:rFonts w:ascii="Cambria" w:hAnsi="Cambria" w:cstheme="minorHAnsi"/>
                <w:bCs/>
              </w:rPr>
              <w:t>. 7,500 crores</w:t>
            </w:r>
            <w:r>
              <w:rPr>
                <w:rFonts w:ascii="Cambria" w:hAnsi="Cambria" w:cstheme="minorHAnsi"/>
                <w:bCs/>
              </w:rPr>
              <w:t xml:space="preserve"> in September</w:t>
            </w:r>
            <w:proofErr w:type="gramStart"/>
            <w:r>
              <w:rPr>
                <w:rFonts w:ascii="Cambria" w:hAnsi="Cambria" w:cstheme="minorHAnsi"/>
                <w:bCs/>
              </w:rPr>
              <w:t>,2024</w:t>
            </w:r>
            <w:proofErr w:type="gramEnd"/>
            <w:r>
              <w:rPr>
                <w:rFonts w:ascii="Cambria" w:hAnsi="Cambria" w:cstheme="minorHAnsi"/>
                <w:bCs/>
              </w:rPr>
              <w:t xml:space="preserve">, </w:t>
            </w:r>
            <w:r w:rsidRPr="00DB1054">
              <w:rPr>
                <w:rFonts w:ascii="Cambria" w:hAnsi="Cambria" w:cstheme="minorHAnsi"/>
                <w:bCs/>
              </w:rPr>
              <w:t>at a coupon rate of 7.33% through its second Basel III compliant Tier 2 bond issuance for the current financial year. The bonds are issued for a tenor of 15 years, with call option after 10 years and each anniversary dates thereafter and are rated AAA with stable outlook from CRISIL Ratings and CARE Ratings.</w:t>
            </w:r>
          </w:p>
          <w:p w14:paraId="4DCFDCAC" w14:textId="6572BE78" w:rsidR="00DB1054" w:rsidRDefault="00DB1054" w:rsidP="00C37868">
            <w:pPr>
              <w:jc w:val="both"/>
              <w:rPr>
                <w:rFonts w:ascii="Cambria" w:hAnsi="Cambria" w:cstheme="minorHAnsi"/>
                <w:bCs/>
              </w:rPr>
            </w:pPr>
            <w:r w:rsidRPr="00DB1054">
              <w:rPr>
                <w:rFonts w:ascii="Cambria" w:hAnsi="Cambria" w:cstheme="minorHAnsi"/>
                <w:bCs/>
              </w:rPr>
              <w:t xml:space="preserve">Analyze the concept of Capital Adequacy Ratio in the banking sector. </w:t>
            </w:r>
          </w:p>
          <w:p w14:paraId="01A28F78" w14:textId="2B514036" w:rsidR="00DB1054" w:rsidRPr="00C37868" w:rsidRDefault="00DB1054" w:rsidP="00C37868">
            <w:pPr>
              <w:jc w:val="both"/>
              <w:rPr>
                <w:rFonts w:ascii="Cambria" w:hAnsi="Cambria" w:cstheme="minorHAnsi"/>
                <w:bCs/>
              </w:rPr>
            </w:pPr>
            <w:r w:rsidRPr="00DB1054">
              <w:rPr>
                <w:rFonts w:ascii="Cambria" w:hAnsi="Cambria" w:cstheme="minorHAnsi"/>
                <w:bCs/>
              </w:rPr>
              <w:lastRenderedPageBreak/>
              <w:t>Analyze the implications of Basel III accords in the Indian Banking Sector.</w:t>
            </w:r>
          </w:p>
        </w:tc>
        <w:tc>
          <w:tcPr>
            <w:tcW w:w="992" w:type="dxa"/>
          </w:tcPr>
          <w:p w14:paraId="5466A6F0" w14:textId="77777777" w:rsidR="00135982" w:rsidRPr="004F56E7" w:rsidRDefault="00135982" w:rsidP="00764D86">
            <w:pPr>
              <w:jc w:val="center"/>
              <w:rPr>
                <w:rFonts w:ascii="Cambria" w:hAnsi="Cambria" w:cstheme="minorHAnsi"/>
                <w:b/>
              </w:rPr>
            </w:pPr>
            <w:r w:rsidRPr="004F56E7">
              <w:rPr>
                <w:rFonts w:ascii="Cambria" w:hAnsi="Cambria" w:cstheme="minorHAnsi"/>
                <w:b/>
                <w:sz w:val="18"/>
                <w:szCs w:val="18"/>
              </w:rPr>
              <w:lastRenderedPageBreak/>
              <w:t>10 Marks</w:t>
            </w:r>
          </w:p>
        </w:tc>
        <w:tc>
          <w:tcPr>
            <w:tcW w:w="851" w:type="dxa"/>
          </w:tcPr>
          <w:p w14:paraId="011F35CF" w14:textId="62DE22B5" w:rsidR="00135982" w:rsidRPr="004F56E7" w:rsidRDefault="0030375E" w:rsidP="00764D86">
            <w:pPr>
              <w:jc w:val="center"/>
              <w:rPr>
                <w:rFonts w:ascii="Cambria" w:hAnsi="Cambria" w:cstheme="minorHAnsi"/>
                <w:b/>
              </w:rPr>
            </w:pPr>
            <w:r w:rsidRPr="0030375E">
              <w:rPr>
                <w:rFonts w:ascii="Cambria" w:hAnsi="Cambria" w:cstheme="minorHAnsi"/>
                <w:b/>
              </w:rPr>
              <w:t>Analyzing</w:t>
            </w:r>
          </w:p>
        </w:tc>
        <w:tc>
          <w:tcPr>
            <w:tcW w:w="708" w:type="dxa"/>
          </w:tcPr>
          <w:p w14:paraId="2560055E" w14:textId="4D6C3CCD" w:rsidR="00135982" w:rsidRPr="004F56E7" w:rsidRDefault="00135982" w:rsidP="00764D86">
            <w:pPr>
              <w:jc w:val="center"/>
              <w:rPr>
                <w:rFonts w:ascii="Cambria" w:hAnsi="Cambria" w:cstheme="minorHAnsi"/>
                <w:b/>
              </w:rPr>
            </w:pPr>
            <w:r w:rsidRPr="004F56E7">
              <w:rPr>
                <w:rFonts w:ascii="Cambria" w:hAnsi="Cambria" w:cstheme="minorHAnsi"/>
                <w:b/>
              </w:rPr>
              <w:t>CO</w:t>
            </w:r>
            <w:r w:rsidR="00DB1054">
              <w:rPr>
                <w:rFonts w:ascii="Cambria" w:hAnsi="Cambria" w:cstheme="minorHAnsi"/>
                <w:b/>
              </w:rPr>
              <w:t>4</w:t>
            </w:r>
          </w:p>
        </w:tc>
      </w:tr>
      <w:tr w:rsidR="00135982" w:rsidRPr="004F56E7" w14:paraId="75ED5FDE" w14:textId="77777777" w:rsidTr="00764D86">
        <w:tc>
          <w:tcPr>
            <w:tcW w:w="10768" w:type="dxa"/>
            <w:gridSpan w:val="5"/>
          </w:tcPr>
          <w:p w14:paraId="657FE126" w14:textId="16536709" w:rsidR="00135982" w:rsidRPr="004F56E7" w:rsidRDefault="00B9505D" w:rsidP="00764D86">
            <w:pPr>
              <w:jc w:val="center"/>
              <w:rPr>
                <w:rFonts w:ascii="Cambria" w:hAnsi="Cambria" w:cstheme="minorHAnsi"/>
                <w:b/>
              </w:rPr>
            </w:pPr>
            <w:r w:rsidRPr="004F56E7">
              <w:rPr>
                <w:rFonts w:ascii="Cambria" w:hAnsi="Cambria" w:cstheme="minorHAnsi"/>
                <w:b/>
              </w:rPr>
              <w:lastRenderedPageBreak/>
              <w:t>O</w:t>
            </w:r>
            <w:r w:rsidR="00135982" w:rsidRPr="004F56E7">
              <w:rPr>
                <w:rFonts w:ascii="Cambria" w:hAnsi="Cambria" w:cstheme="minorHAnsi"/>
                <w:b/>
              </w:rPr>
              <w:t>r</w:t>
            </w:r>
          </w:p>
        </w:tc>
      </w:tr>
      <w:tr w:rsidR="00135982" w:rsidRPr="004F56E7" w14:paraId="3FDEE03E" w14:textId="77777777" w:rsidTr="00764D86">
        <w:tc>
          <w:tcPr>
            <w:tcW w:w="562" w:type="dxa"/>
          </w:tcPr>
          <w:p w14:paraId="2E83CB86" w14:textId="436DD26A" w:rsidR="00135982" w:rsidRPr="004F56E7" w:rsidRDefault="000075CF" w:rsidP="00764D86">
            <w:pPr>
              <w:jc w:val="center"/>
              <w:rPr>
                <w:rFonts w:ascii="Cambria" w:hAnsi="Cambria" w:cstheme="minorHAnsi"/>
                <w:b/>
              </w:rPr>
            </w:pPr>
            <w:r>
              <w:rPr>
                <w:rFonts w:ascii="Cambria" w:hAnsi="Cambria" w:cstheme="minorHAnsi"/>
                <w:b/>
              </w:rPr>
              <w:t>18</w:t>
            </w:r>
          </w:p>
        </w:tc>
        <w:tc>
          <w:tcPr>
            <w:tcW w:w="7655" w:type="dxa"/>
          </w:tcPr>
          <w:p w14:paraId="0DD0712E" w14:textId="77777777" w:rsidR="004B481C" w:rsidRPr="004B481C" w:rsidRDefault="004B481C" w:rsidP="004B481C">
            <w:pPr>
              <w:jc w:val="both"/>
              <w:rPr>
                <w:rFonts w:ascii="Cambria" w:hAnsi="Cambria" w:cstheme="minorHAnsi"/>
                <w:bCs/>
              </w:rPr>
            </w:pPr>
            <w:r w:rsidRPr="004B481C">
              <w:rPr>
                <w:rFonts w:ascii="Cambria" w:hAnsi="Cambria" w:cstheme="minorHAnsi"/>
                <w:bCs/>
              </w:rPr>
              <w:t xml:space="preserve">The Supreme Court has said </w:t>
            </w:r>
            <w:proofErr w:type="spellStart"/>
            <w:r w:rsidRPr="004B481C">
              <w:rPr>
                <w:rFonts w:ascii="Cambria" w:hAnsi="Cambria" w:cstheme="minorHAnsi"/>
                <w:bCs/>
              </w:rPr>
              <w:t>dishonouring</w:t>
            </w:r>
            <w:proofErr w:type="spellEnd"/>
            <w:r w:rsidRPr="004B481C">
              <w:rPr>
                <w:rFonts w:ascii="Cambria" w:hAnsi="Cambria" w:cstheme="minorHAnsi"/>
                <w:bCs/>
              </w:rPr>
              <w:t xml:space="preserve"> </w:t>
            </w:r>
            <w:proofErr w:type="spellStart"/>
            <w:r w:rsidRPr="004B481C">
              <w:rPr>
                <w:rFonts w:ascii="Cambria" w:hAnsi="Cambria" w:cstheme="minorHAnsi"/>
                <w:bCs/>
              </w:rPr>
              <w:t>cheques</w:t>
            </w:r>
            <w:proofErr w:type="spellEnd"/>
            <w:r w:rsidRPr="004B481C">
              <w:rPr>
                <w:rFonts w:ascii="Cambria" w:hAnsi="Cambria" w:cstheme="minorHAnsi"/>
                <w:bCs/>
              </w:rPr>
              <w:t xml:space="preserve"> will now be a 'regulatory offence'. The order is in view of public interest so that the reliability of these instruments can be ensured. The apex court suggested the courts to encourage compounding of offences under the Negotiable Instruments Act if parties are willing to do so. A bench of Justices </w:t>
            </w:r>
            <w:proofErr w:type="spellStart"/>
            <w:r w:rsidRPr="004B481C">
              <w:rPr>
                <w:rFonts w:ascii="Cambria" w:hAnsi="Cambria" w:cstheme="minorHAnsi"/>
                <w:bCs/>
              </w:rPr>
              <w:t>Sudhanshu</w:t>
            </w:r>
            <w:proofErr w:type="spellEnd"/>
            <w:r w:rsidRPr="004B481C">
              <w:rPr>
                <w:rFonts w:ascii="Cambria" w:hAnsi="Cambria" w:cstheme="minorHAnsi"/>
                <w:bCs/>
              </w:rPr>
              <w:t xml:space="preserve"> Dhulia and </w:t>
            </w:r>
            <w:proofErr w:type="spellStart"/>
            <w:r w:rsidRPr="004B481C">
              <w:rPr>
                <w:rFonts w:ascii="Cambria" w:hAnsi="Cambria" w:cstheme="minorHAnsi"/>
                <w:bCs/>
              </w:rPr>
              <w:t>Ahsanuddin</w:t>
            </w:r>
            <w:proofErr w:type="spellEnd"/>
            <w:r w:rsidRPr="004B481C">
              <w:rPr>
                <w:rFonts w:ascii="Cambria" w:hAnsi="Cambria" w:cstheme="minorHAnsi"/>
                <w:bCs/>
              </w:rPr>
              <w:t xml:space="preserve"> </w:t>
            </w:r>
            <w:proofErr w:type="spellStart"/>
            <w:r w:rsidRPr="004B481C">
              <w:rPr>
                <w:rFonts w:ascii="Cambria" w:hAnsi="Cambria" w:cstheme="minorHAnsi"/>
                <w:bCs/>
              </w:rPr>
              <w:t>Amanullah</w:t>
            </w:r>
            <w:proofErr w:type="spellEnd"/>
            <w:r w:rsidRPr="004B481C">
              <w:rPr>
                <w:rFonts w:ascii="Cambria" w:hAnsi="Cambria" w:cstheme="minorHAnsi"/>
                <w:bCs/>
              </w:rPr>
              <w:t xml:space="preserve"> pointed out Section </w:t>
            </w:r>
            <w:proofErr w:type="gramStart"/>
            <w:r w:rsidRPr="004B481C">
              <w:rPr>
                <w:rFonts w:ascii="Cambria" w:hAnsi="Cambria" w:cstheme="minorHAnsi"/>
                <w:bCs/>
              </w:rPr>
              <w:t>147  of</w:t>
            </w:r>
            <w:proofErr w:type="gramEnd"/>
            <w:r w:rsidRPr="004B481C">
              <w:rPr>
                <w:rFonts w:ascii="Cambria" w:hAnsi="Cambria" w:cstheme="minorHAnsi"/>
                <w:bCs/>
              </w:rPr>
              <w:t xml:space="preserve"> the Negotiable Instruments Act makes all offences compoundable offences so the settlement agreement can be treated to be compounding of the offence.</w:t>
            </w:r>
          </w:p>
          <w:p w14:paraId="10929F7F" w14:textId="77777777" w:rsidR="004B481C" w:rsidRPr="004B481C" w:rsidRDefault="004B481C" w:rsidP="004B481C">
            <w:pPr>
              <w:jc w:val="both"/>
              <w:rPr>
                <w:rFonts w:ascii="Cambria" w:hAnsi="Cambria" w:cstheme="minorHAnsi"/>
                <w:bCs/>
              </w:rPr>
            </w:pPr>
            <w:r w:rsidRPr="004B481C">
              <w:rPr>
                <w:rFonts w:ascii="Cambria" w:hAnsi="Cambria" w:cstheme="minorHAnsi"/>
                <w:bCs/>
              </w:rPr>
              <w:t xml:space="preserve">Explain the consequences of </w:t>
            </w:r>
            <w:proofErr w:type="spellStart"/>
            <w:r w:rsidRPr="004B481C">
              <w:rPr>
                <w:rFonts w:ascii="Cambria" w:hAnsi="Cambria" w:cstheme="minorHAnsi"/>
                <w:bCs/>
              </w:rPr>
              <w:t>dishonour</w:t>
            </w:r>
            <w:proofErr w:type="spellEnd"/>
            <w:r w:rsidRPr="004B481C">
              <w:rPr>
                <w:rFonts w:ascii="Cambria" w:hAnsi="Cambria" w:cstheme="minorHAnsi"/>
                <w:bCs/>
              </w:rPr>
              <w:t xml:space="preserve"> of </w:t>
            </w:r>
            <w:proofErr w:type="spellStart"/>
            <w:r w:rsidRPr="004B481C">
              <w:rPr>
                <w:rFonts w:ascii="Cambria" w:hAnsi="Cambria" w:cstheme="minorHAnsi"/>
                <w:bCs/>
              </w:rPr>
              <w:t>cheque</w:t>
            </w:r>
            <w:proofErr w:type="spellEnd"/>
            <w:r w:rsidRPr="004B481C">
              <w:rPr>
                <w:rFonts w:ascii="Cambria" w:hAnsi="Cambria" w:cstheme="minorHAnsi"/>
                <w:bCs/>
              </w:rPr>
              <w:t xml:space="preserve"> under the Negotiable Instruments Amendment Act, 2018. </w:t>
            </w:r>
          </w:p>
          <w:p w14:paraId="1123A189" w14:textId="65328317" w:rsidR="00135982" w:rsidRPr="004F56E7" w:rsidRDefault="004B481C" w:rsidP="004B481C">
            <w:pPr>
              <w:jc w:val="both"/>
              <w:rPr>
                <w:rFonts w:ascii="Cambria" w:hAnsi="Cambria" w:cstheme="minorHAnsi"/>
                <w:b/>
              </w:rPr>
            </w:pPr>
            <w:proofErr w:type="spellStart"/>
            <w:r w:rsidRPr="004B481C">
              <w:rPr>
                <w:rFonts w:ascii="Cambria" w:hAnsi="Cambria" w:cstheme="minorHAnsi"/>
                <w:bCs/>
              </w:rPr>
              <w:t>Analyse</w:t>
            </w:r>
            <w:proofErr w:type="spellEnd"/>
            <w:r w:rsidRPr="004B481C">
              <w:rPr>
                <w:rFonts w:ascii="Cambria" w:hAnsi="Cambria" w:cstheme="minorHAnsi"/>
                <w:bCs/>
              </w:rPr>
              <w:t xml:space="preserve"> the salient features of the Limitation Act,</w:t>
            </w:r>
            <w:r>
              <w:rPr>
                <w:rFonts w:ascii="Cambria" w:hAnsi="Cambria" w:cstheme="minorHAnsi"/>
                <w:bCs/>
              </w:rPr>
              <w:t>1963 in the context of the Indian banking regulations</w:t>
            </w:r>
          </w:p>
        </w:tc>
        <w:tc>
          <w:tcPr>
            <w:tcW w:w="992" w:type="dxa"/>
          </w:tcPr>
          <w:p w14:paraId="1EF8ADAF" w14:textId="77777777" w:rsidR="00135982" w:rsidRPr="004F56E7" w:rsidRDefault="00135982" w:rsidP="00764D86">
            <w:pPr>
              <w:jc w:val="center"/>
              <w:rPr>
                <w:rFonts w:ascii="Cambria" w:hAnsi="Cambria" w:cstheme="minorHAnsi"/>
                <w:b/>
              </w:rPr>
            </w:pPr>
            <w:r w:rsidRPr="00F86340">
              <w:rPr>
                <w:rFonts w:ascii="Cambria" w:hAnsi="Cambria" w:cstheme="minorHAnsi"/>
                <w:b/>
                <w:sz w:val="18"/>
                <w:szCs w:val="18"/>
              </w:rPr>
              <w:t>10 Marks</w:t>
            </w:r>
          </w:p>
        </w:tc>
        <w:tc>
          <w:tcPr>
            <w:tcW w:w="851" w:type="dxa"/>
          </w:tcPr>
          <w:p w14:paraId="452BCCCB" w14:textId="176D8D46" w:rsidR="00135982" w:rsidRPr="004F56E7" w:rsidRDefault="0030375E" w:rsidP="00764D86">
            <w:pPr>
              <w:jc w:val="center"/>
              <w:rPr>
                <w:rFonts w:ascii="Cambria" w:hAnsi="Cambria" w:cstheme="minorHAnsi"/>
                <w:b/>
              </w:rPr>
            </w:pPr>
            <w:r w:rsidRPr="0030375E">
              <w:rPr>
                <w:rFonts w:ascii="Cambria" w:hAnsi="Cambria" w:cstheme="minorHAnsi"/>
                <w:b/>
              </w:rPr>
              <w:t>Analyzing</w:t>
            </w:r>
          </w:p>
        </w:tc>
        <w:tc>
          <w:tcPr>
            <w:tcW w:w="708" w:type="dxa"/>
          </w:tcPr>
          <w:p w14:paraId="3C5C66C1" w14:textId="612AB83E" w:rsidR="00135982" w:rsidRPr="004F56E7" w:rsidRDefault="00135982" w:rsidP="00764D86">
            <w:pPr>
              <w:jc w:val="center"/>
              <w:rPr>
                <w:rFonts w:ascii="Cambria" w:hAnsi="Cambria" w:cstheme="minorHAnsi"/>
                <w:b/>
              </w:rPr>
            </w:pPr>
            <w:r w:rsidRPr="004F56E7">
              <w:rPr>
                <w:rFonts w:ascii="Cambria" w:hAnsi="Cambria" w:cstheme="minorHAnsi"/>
                <w:b/>
              </w:rPr>
              <w:t>CO</w:t>
            </w:r>
            <w:r w:rsidR="00964794">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6"/>
        <w:gridCol w:w="7134"/>
        <w:gridCol w:w="985"/>
        <w:gridCol w:w="1389"/>
        <w:gridCol w:w="704"/>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66DFD88B" w:rsidR="000259A3" w:rsidRDefault="000075CF">
            <w:pPr>
              <w:jc w:val="center"/>
              <w:rPr>
                <w:rFonts w:ascii="Cambria" w:hAnsi="Cambria" w:cstheme="minorHAnsi"/>
                <w:b/>
                <w:sz w:val="24"/>
                <w:szCs w:val="24"/>
              </w:rPr>
            </w:pPr>
            <w:r>
              <w:rPr>
                <w:rFonts w:ascii="Cambria" w:hAnsi="Cambria" w:cstheme="minorHAnsi"/>
                <w:b/>
                <w:sz w:val="24"/>
                <w:szCs w:val="24"/>
              </w:rPr>
              <w:t>19</w:t>
            </w:r>
          </w:p>
        </w:tc>
        <w:tc>
          <w:tcPr>
            <w:tcW w:w="7655" w:type="dxa"/>
          </w:tcPr>
          <w:p w14:paraId="11007657" w14:textId="511C4FF8"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 xml:space="preserve">The Financial Intelligence Unit (FIU) has imposed a fine of </w:t>
            </w:r>
            <w:proofErr w:type="spellStart"/>
            <w:r w:rsidRPr="00FF1BDB">
              <w:rPr>
                <w:rFonts w:ascii="Cambria" w:hAnsi="Cambria" w:cstheme="minorHAnsi"/>
                <w:bCs/>
                <w:sz w:val="24"/>
                <w:szCs w:val="24"/>
              </w:rPr>
              <w:t>Rs</w:t>
            </w:r>
            <w:proofErr w:type="spellEnd"/>
            <w:r w:rsidRPr="00FF1BDB">
              <w:rPr>
                <w:rFonts w:ascii="Cambria" w:hAnsi="Cambria" w:cstheme="minorHAnsi"/>
                <w:bCs/>
                <w:sz w:val="24"/>
                <w:szCs w:val="24"/>
              </w:rPr>
              <w:t xml:space="preserve"> 54 lakh on the Union Bank of India for "failing" to report suspicious transaction reports and for not undertaking due diligence under the anti-money laundering law for certain accounts at one of its branches in Mumbai.</w:t>
            </w:r>
          </w:p>
          <w:p w14:paraId="59C89D67" w14:textId="77777777" w:rsidR="00FF1BDB" w:rsidRPr="00FF1BDB" w:rsidRDefault="00FF1BDB" w:rsidP="00FF1BDB">
            <w:pPr>
              <w:jc w:val="both"/>
              <w:rPr>
                <w:rFonts w:ascii="Cambria" w:hAnsi="Cambria" w:cstheme="minorHAnsi"/>
                <w:bCs/>
                <w:sz w:val="24"/>
                <w:szCs w:val="24"/>
              </w:rPr>
            </w:pPr>
          </w:p>
          <w:p w14:paraId="004B624C" w14:textId="77777777"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The federal agency issued the penalty notice under section 13 of the Prevention of Money Laundering Act (PMLA) on October 1 as it observed that the charges against the lender were "substantiated" after it considered written and oral submissions made by the Bank.</w:t>
            </w:r>
          </w:p>
          <w:p w14:paraId="6706A3F8" w14:textId="77777777" w:rsidR="00FF1BDB" w:rsidRPr="00FF1BDB" w:rsidRDefault="00FF1BDB" w:rsidP="00FF1BDB">
            <w:pPr>
              <w:jc w:val="both"/>
              <w:rPr>
                <w:rFonts w:ascii="Cambria" w:hAnsi="Cambria" w:cstheme="minorHAnsi"/>
                <w:bCs/>
                <w:sz w:val="24"/>
                <w:szCs w:val="24"/>
              </w:rPr>
            </w:pPr>
          </w:p>
          <w:p w14:paraId="04CD614D" w14:textId="77777777"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The investigation started, pursuant to an observation by the FIU, and a "comprehensive review" of the Bank's operations was undertaken, which uncovered certain "irregularities" related to KYC/AML (know your customer/anti-money laundering laundering) compliance.</w:t>
            </w:r>
          </w:p>
          <w:p w14:paraId="561A80AB" w14:textId="77777777"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 xml:space="preserve">"An independent examination of specific current accounts maintained at Union Bank of India, Hill Road Branch, Mumbai, revealed that the accounts of an NBFC (non-banking financial company) and its associated entities were engaged in substantial circular fund transfers, orchestrated through entities under </w:t>
            </w:r>
            <w:r w:rsidRPr="00FF1BDB">
              <w:rPr>
                <w:rFonts w:ascii="Cambria" w:hAnsi="Cambria" w:cstheme="minorHAnsi"/>
                <w:bCs/>
                <w:sz w:val="24"/>
                <w:szCs w:val="24"/>
              </w:rPr>
              <w:lastRenderedPageBreak/>
              <w:t>common control," the FIU said in a summary public order accessed by PTI.</w:t>
            </w:r>
          </w:p>
          <w:p w14:paraId="51C6F4B7" w14:textId="77777777" w:rsidR="00FF1BDB" w:rsidRPr="00FF1BDB" w:rsidRDefault="00FF1BDB" w:rsidP="00FF1BDB">
            <w:pPr>
              <w:jc w:val="both"/>
              <w:rPr>
                <w:rFonts w:ascii="Cambria" w:hAnsi="Cambria" w:cstheme="minorHAnsi"/>
                <w:bCs/>
                <w:sz w:val="24"/>
                <w:szCs w:val="24"/>
              </w:rPr>
            </w:pPr>
          </w:p>
          <w:p w14:paraId="16E278AE" w14:textId="7FD58488"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The FIU found that there were "several critical irregularities" involving entities with a common registered address and identical beneficial owners.</w:t>
            </w:r>
          </w:p>
          <w:p w14:paraId="6EA88883" w14:textId="77777777" w:rsidR="000259A3" w:rsidRDefault="00FF1BDB" w:rsidP="00FF1BDB">
            <w:pPr>
              <w:jc w:val="both"/>
              <w:rPr>
                <w:rFonts w:ascii="Cambria" w:hAnsi="Cambria" w:cstheme="minorHAnsi"/>
                <w:bCs/>
                <w:sz w:val="24"/>
                <w:szCs w:val="24"/>
              </w:rPr>
            </w:pPr>
            <w:r w:rsidRPr="00FF1BDB">
              <w:rPr>
                <w:rFonts w:ascii="Cambria" w:hAnsi="Cambria" w:cstheme="minorHAnsi"/>
                <w:bCs/>
                <w:sz w:val="24"/>
                <w:szCs w:val="24"/>
              </w:rPr>
              <w:t xml:space="preserve">"Despite their </w:t>
            </w:r>
            <w:proofErr w:type="spellStart"/>
            <w:r w:rsidRPr="00FF1BDB">
              <w:rPr>
                <w:rFonts w:ascii="Cambria" w:hAnsi="Cambria" w:cstheme="minorHAnsi"/>
                <w:bCs/>
                <w:sz w:val="24"/>
                <w:szCs w:val="24"/>
              </w:rPr>
              <w:t>authorised</w:t>
            </w:r>
            <w:proofErr w:type="spellEnd"/>
            <w:r w:rsidRPr="00FF1BDB">
              <w:rPr>
                <w:rFonts w:ascii="Cambria" w:hAnsi="Cambria" w:cstheme="minorHAnsi"/>
                <w:bCs/>
                <w:sz w:val="24"/>
                <w:szCs w:val="24"/>
              </w:rPr>
              <w:t xml:space="preserve"> capital being only </w:t>
            </w:r>
            <w:proofErr w:type="spellStart"/>
            <w:r w:rsidRPr="00FF1BDB">
              <w:rPr>
                <w:rFonts w:ascii="Cambria" w:hAnsi="Cambria" w:cstheme="minorHAnsi"/>
                <w:bCs/>
                <w:sz w:val="24"/>
                <w:szCs w:val="24"/>
              </w:rPr>
              <w:t>Rs</w:t>
            </w:r>
            <w:proofErr w:type="spellEnd"/>
            <w:r w:rsidRPr="00FF1BDB">
              <w:rPr>
                <w:rFonts w:ascii="Cambria" w:hAnsi="Cambria" w:cstheme="minorHAnsi"/>
                <w:bCs/>
                <w:sz w:val="24"/>
                <w:szCs w:val="24"/>
              </w:rPr>
              <w:t xml:space="preserve"> 1 lakh, each of these entities exhibited credit turnovers disproportionate to their declared business operations, with significant RTGS (real time gross settlement) inflows from the accounts of the NBFC in question.</w:t>
            </w:r>
          </w:p>
          <w:p w14:paraId="13AB83DB" w14:textId="77777777" w:rsid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Analyze the concept of money laundering and the processes involved.</w:t>
            </w:r>
          </w:p>
          <w:p w14:paraId="532004A4" w14:textId="0AC3E6B8" w:rsidR="00FF1BDB" w:rsidRPr="00FF1BDB" w:rsidRDefault="00FF1BDB" w:rsidP="00FF1BDB">
            <w:pPr>
              <w:jc w:val="both"/>
              <w:rPr>
                <w:rFonts w:ascii="Cambria" w:hAnsi="Cambria" w:cstheme="minorHAnsi"/>
                <w:bCs/>
                <w:sz w:val="24"/>
                <w:szCs w:val="24"/>
              </w:rPr>
            </w:pPr>
            <w:r w:rsidRPr="00FF1BDB">
              <w:rPr>
                <w:rFonts w:ascii="Cambria" w:hAnsi="Cambria" w:cstheme="minorHAnsi"/>
                <w:bCs/>
                <w:sz w:val="24"/>
                <w:szCs w:val="24"/>
              </w:rPr>
              <w:t xml:space="preserve">Evaluate the impact of The Prevention of Money Laundering Act (PMLA) </w:t>
            </w:r>
            <w:r>
              <w:rPr>
                <w:rFonts w:ascii="Cambria" w:hAnsi="Cambria" w:cstheme="minorHAnsi"/>
                <w:bCs/>
                <w:sz w:val="24"/>
                <w:szCs w:val="24"/>
              </w:rPr>
              <w:t>2002</w:t>
            </w:r>
            <w:r w:rsidRPr="00FF1BDB">
              <w:rPr>
                <w:rFonts w:ascii="Cambria" w:hAnsi="Cambria" w:cstheme="minorHAnsi"/>
                <w:bCs/>
                <w:sz w:val="24"/>
                <w:szCs w:val="24"/>
              </w:rPr>
              <w:t xml:space="preserve">, </w:t>
            </w:r>
            <w:r>
              <w:rPr>
                <w:rFonts w:ascii="Cambria" w:hAnsi="Cambria" w:cstheme="minorHAnsi"/>
                <w:bCs/>
                <w:sz w:val="24"/>
                <w:szCs w:val="24"/>
              </w:rPr>
              <w:t>Know your Customer (</w:t>
            </w:r>
            <w:r w:rsidRPr="00FF1BDB">
              <w:rPr>
                <w:rFonts w:ascii="Cambria" w:hAnsi="Cambria" w:cstheme="minorHAnsi"/>
                <w:bCs/>
                <w:sz w:val="24"/>
                <w:szCs w:val="24"/>
              </w:rPr>
              <w:t>KYC</w:t>
            </w:r>
            <w:r>
              <w:rPr>
                <w:rFonts w:ascii="Cambria" w:hAnsi="Cambria" w:cstheme="minorHAnsi"/>
                <w:bCs/>
                <w:sz w:val="24"/>
                <w:szCs w:val="24"/>
              </w:rPr>
              <w:t>) and Customer Risk Categorization (CRC)</w:t>
            </w:r>
            <w:r w:rsidRPr="00FF1BDB">
              <w:rPr>
                <w:rFonts w:ascii="Cambria" w:hAnsi="Cambria" w:cstheme="minorHAnsi"/>
                <w:bCs/>
                <w:sz w:val="24"/>
                <w:szCs w:val="24"/>
              </w:rPr>
              <w:t xml:space="preserve"> norms on the banking sector.</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lastRenderedPageBreak/>
              <w:t>15 Marks</w:t>
            </w:r>
          </w:p>
        </w:tc>
        <w:tc>
          <w:tcPr>
            <w:tcW w:w="851" w:type="dxa"/>
          </w:tcPr>
          <w:p w14:paraId="6CE5CA68" w14:textId="75316FFF" w:rsidR="000259A3" w:rsidRDefault="0030375E">
            <w:pPr>
              <w:jc w:val="center"/>
              <w:rPr>
                <w:rFonts w:ascii="Cambria" w:hAnsi="Cambria" w:cstheme="minorHAnsi"/>
                <w:b/>
                <w:sz w:val="24"/>
                <w:szCs w:val="24"/>
              </w:rPr>
            </w:pPr>
            <w:r w:rsidRPr="0030375E">
              <w:rPr>
                <w:rFonts w:ascii="Cambria" w:hAnsi="Cambria" w:cstheme="minorHAnsi"/>
                <w:b/>
                <w:sz w:val="24"/>
                <w:szCs w:val="24"/>
              </w:rPr>
              <w:t>Evaluating</w:t>
            </w:r>
          </w:p>
        </w:tc>
        <w:tc>
          <w:tcPr>
            <w:tcW w:w="708" w:type="dxa"/>
          </w:tcPr>
          <w:p w14:paraId="4692E4BA" w14:textId="3D4A54B6" w:rsidR="000259A3" w:rsidRDefault="00F86340">
            <w:pPr>
              <w:jc w:val="center"/>
              <w:rPr>
                <w:rFonts w:ascii="Cambria" w:hAnsi="Cambria" w:cstheme="minorHAnsi"/>
                <w:b/>
                <w:sz w:val="24"/>
                <w:szCs w:val="24"/>
              </w:rPr>
            </w:pPr>
            <w:r>
              <w:rPr>
                <w:rFonts w:ascii="Cambria" w:hAnsi="Cambria" w:cstheme="minorHAnsi"/>
                <w:b/>
                <w:sz w:val="24"/>
                <w:szCs w:val="24"/>
              </w:rPr>
              <w:t>CO</w:t>
            </w:r>
            <w:r w:rsidR="00C37868">
              <w:rPr>
                <w:rFonts w:ascii="Cambria" w:hAnsi="Cambria" w:cstheme="minorHAnsi"/>
                <w:b/>
                <w:sz w:val="24"/>
                <w:szCs w:val="24"/>
              </w:rPr>
              <w:t>4</w:t>
            </w:r>
          </w:p>
        </w:tc>
      </w:tr>
      <w:tr w:rsidR="00135982" w14:paraId="63A1BE15" w14:textId="77777777" w:rsidTr="00F86340">
        <w:trPr>
          <w:trHeight w:val="858"/>
        </w:trPr>
        <w:tc>
          <w:tcPr>
            <w:tcW w:w="562" w:type="dxa"/>
          </w:tcPr>
          <w:p w14:paraId="0B56A48F" w14:textId="240221B5" w:rsidR="00135982" w:rsidRDefault="000075CF" w:rsidP="00135982">
            <w:pPr>
              <w:jc w:val="center"/>
              <w:rPr>
                <w:rFonts w:ascii="Cambria" w:hAnsi="Cambria" w:cstheme="minorHAnsi"/>
                <w:b/>
                <w:sz w:val="24"/>
                <w:szCs w:val="24"/>
              </w:rPr>
            </w:pPr>
            <w:r>
              <w:rPr>
                <w:rFonts w:ascii="Cambria" w:hAnsi="Cambria" w:cstheme="minorHAnsi"/>
                <w:b/>
                <w:sz w:val="24"/>
                <w:szCs w:val="24"/>
              </w:rPr>
              <w:lastRenderedPageBreak/>
              <w:t>20</w:t>
            </w:r>
            <w:bookmarkStart w:id="0" w:name="_GoBack"/>
            <w:bookmarkEnd w:id="0"/>
          </w:p>
        </w:tc>
        <w:tc>
          <w:tcPr>
            <w:tcW w:w="7655" w:type="dxa"/>
          </w:tcPr>
          <w:p w14:paraId="4B930730" w14:textId="77777777" w:rsidR="0001623E" w:rsidRPr="0001623E" w:rsidRDefault="0001623E" w:rsidP="0001623E">
            <w:pPr>
              <w:jc w:val="both"/>
              <w:rPr>
                <w:rFonts w:ascii="Cambria" w:hAnsi="Cambria" w:cstheme="minorHAnsi"/>
                <w:bCs/>
                <w:sz w:val="24"/>
                <w:szCs w:val="24"/>
              </w:rPr>
            </w:pPr>
            <w:r w:rsidRPr="0001623E">
              <w:rPr>
                <w:rFonts w:ascii="Cambria" w:hAnsi="Cambria" w:cstheme="minorHAnsi"/>
                <w:bCs/>
                <w:sz w:val="24"/>
                <w:szCs w:val="24"/>
              </w:rPr>
              <w:t>The Reserve Bank's FI-Index, capturing the extent of financial inclusion across the country, rose to 64.2 in March 2024, showing growth across all parameters. The index captures information on various aspects of financial inclusion in a single value ranging between 0 and 100, where 0 represents complete financial exclusion and 100 indicates full financial inclusion. “The value of the index for March 2024 stands at 64.2 vis-à-vis 60.1 in March 2023, with growth witnessed across all sub-indices,” the Reserve Bank of India (RBI) said in a statement on July 9. The improvement in FI-Index is mainly contributed by usage dimension, reflecting deepening of financial inclusion, it added. The FI-Index comprises three broad parameters — access (35%), usage (45%), and quality (20%) — with each of these consisting of various dimensions, which are computed based on a number of indicators.</w:t>
            </w:r>
          </w:p>
          <w:p w14:paraId="515D6E37" w14:textId="5F142065" w:rsidR="0001623E" w:rsidRDefault="0001623E" w:rsidP="0001623E">
            <w:pPr>
              <w:jc w:val="both"/>
              <w:rPr>
                <w:rFonts w:ascii="Cambria" w:hAnsi="Cambria" w:cstheme="minorHAnsi"/>
                <w:bCs/>
                <w:sz w:val="24"/>
                <w:szCs w:val="24"/>
              </w:rPr>
            </w:pPr>
            <w:r w:rsidRPr="0001623E">
              <w:rPr>
                <w:rFonts w:ascii="Cambria" w:hAnsi="Cambria" w:cstheme="minorHAnsi"/>
                <w:bCs/>
                <w:sz w:val="24"/>
                <w:szCs w:val="24"/>
              </w:rPr>
              <w:t>Analyze the role of Financial Inclusion in the Indian Banking Sector</w:t>
            </w:r>
          </w:p>
          <w:p w14:paraId="05FBFAB6" w14:textId="651E2AD1" w:rsidR="0001623E" w:rsidRPr="0001623E" w:rsidRDefault="0001623E" w:rsidP="0001623E">
            <w:pPr>
              <w:jc w:val="both"/>
              <w:rPr>
                <w:rFonts w:ascii="Cambria" w:hAnsi="Cambria" w:cstheme="minorHAnsi"/>
                <w:bCs/>
                <w:sz w:val="24"/>
                <w:szCs w:val="24"/>
              </w:rPr>
            </w:pPr>
            <w:r w:rsidRPr="0001623E">
              <w:rPr>
                <w:rFonts w:ascii="Cambria" w:hAnsi="Cambria" w:cstheme="minorHAnsi"/>
                <w:bCs/>
                <w:sz w:val="24"/>
                <w:szCs w:val="24"/>
              </w:rPr>
              <w:t xml:space="preserve">Explain the salient features of Business Correspondent Model in Financial Inclusion </w:t>
            </w:r>
          </w:p>
          <w:p w14:paraId="15F3C011" w14:textId="634CC381" w:rsidR="00C37868" w:rsidRPr="00C37868" w:rsidRDefault="0001623E" w:rsidP="007F52AA">
            <w:pPr>
              <w:jc w:val="both"/>
              <w:rPr>
                <w:rFonts w:ascii="Cambria" w:hAnsi="Cambria" w:cstheme="minorHAnsi"/>
                <w:bCs/>
                <w:sz w:val="24"/>
                <w:szCs w:val="24"/>
              </w:rPr>
            </w:pPr>
            <w:r w:rsidRPr="0001623E">
              <w:rPr>
                <w:rFonts w:ascii="Cambria" w:hAnsi="Cambria" w:cstheme="minorHAnsi"/>
                <w:bCs/>
                <w:sz w:val="24"/>
                <w:szCs w:val="24"/>
              </w:rPr>
              <w:t>Explain the role played by NBFC-MFIs in the financial inclusion initiatives.</w:t>
            </w:r>
          </w:p>
        </w:tc>
        <w:tc>
          <w:tcPr>
            <w:tcW w:w="992" w:type="dxa"/>
          </w:tcPr>
          <w:p w14:paraId="431C15E8" w14:textId="05037800" w:rsidR="00135982" w:rsidRDefault="00135982" w:rsidP="00135982">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278134EF" w14:textId="7ADD353F" w:rsidR="00135982" w:rsidRDefault="0030375E" w:rsidP="00135982">
            <w:pPr>
              <w:jc w:val="center"/>
              <w:rPr>
                <w:rFonts w:ascii="Cambria" w:hAnsi="Cambria" w:cstheme="minorHAnsi"/>
                <w:b/>
                <w:sz w:val="24"/>
                <w:szCs w:val="24"/>
              </w:rPr>
            </w:pPr>
            <w:proofErr w:type="spellStart"/>
            <w:r w:rsidRPr="0030375E">
              <w:rPr>
                <w:rFonts w:ascii="Cambria" w:hAnsi="Cambria" w:cstheme="minorHAnsi"/>
                <w:b/>
                <w:sz w:val="24"/>
                <w:szCs w:val="24"/>
              </w:rPr>
              <w:t>Analysing</w:t>
            </w:r>
            <w:proofErr w:type="spellEnd"/>
          </w:p>
        </w:tc>
        <w:tc>
          <w:tcPr>
            <w:tcW w:w="708" w:type="dxa"/>
          </w:tcPr>
          <w:p w14:paraId="22D86B86" w14:textId="030EC64F" w:rsidR="00135982" w:rsidRDefault="00135982" w:rsidP="00135982">
            <w:pPr>
              <w:jc w:val="center"/>
              <w:rPr>
                <w:rFonts w:ascii="Cambria" w:hAnsi="Cambria" w:cstheme="minorHAnsi"/>
                <w:b/>
                <w:sz w:val="24"/>
                <w:szCs w:val="24"/>
              </w:rPr>
            </w:pPr>
            <w:r>
              <w:rPr>
                <w:rFonts w:ascii="Cambria" w:hAnsi="Cambria" w:cstheme="minorHAnsi"/>
                <w:b/>
                <w:sz w:val="24"/>
                <w:szCs w:val="24"/>
              </w:rPr>
              <w:t>CO</w:t>
            </w:r>
            <w:r w:rsidR="0001623E">
              <w:rPr>
                <w:rFonts w:ascii="Cambria" w:hAnsi="Cambria" w:cstheme="minorHAnsi"/>
                <w:b/>
                <w:sz w:val="24"/>
                <w:szCs w:val="24"/>
              </w:rPr>
              <w:t>4</w:t>
            </w:r>
          </w:p>
        </w:tc>
      </w:tr>
    </w:tbl>
    <w:p w14:paraId="1FB0DDAC" w14:textId="77777777" w:rsidR="000259A3" w:rsidRDefault="000259A3">
      <w:pPr>
        <w:pBdr>
          <w:top w:val="single" w:sz="4" w:space="0" w:color="auto"/>
        </w:pBdr>
        <w:jc w:val="center"/>
        <w:rPr>
          <w:rFonts w:ascii="Cambria" w:hAnsi="Cambria" w:cstheme="minorHAnsi"/>
          <w:b/>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15CFD" w14:textId="77777777" w:rsidR="008D588F" w:rsidRDefault="008D588F">
      <w:pPr>
        <w:spacing w:line="240" w:lineRule="auto"/>
      </w:pPr>
      <w:r>
        <w:separator/>
      </w:r>
    </w:p>
  </w:endnote>
  <w:endnote w:type="continuationSeparator" w:id="0">
    <w:p w14:paraId="6A4D4D23" w14:textId="77777777" w:rsidR="008D588F" w:rsidRDefault="008D5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075CF">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075CF">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9F467" w14:textId="77777777" w:rsidR="008D588F" w:rsidRDefault="008D588F">
      <w:pPr>
        <w:spacing w:after="0"/>
      </w:pPr>
      <w:r>
        <w:separator/>
      </w:r>
    </w:p>
  </w:footnote>
  <w:footnote w:type="continuationSeparator" w:id="0">
    <w:p w14:paraId="79C343BA" w14:textId="77777777" w:rsidR="008D588F" w:rsidRDefault="008D58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75CF"/>
    <w:rsid w:val="0001623E"/>
    <w:rsid w:val="000208B7"/>
    <w:rsid w:val="000259A3"/>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80F8D"/>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360"/>
    <w:rsid w:val="00115346"/>
    <w:rsid w:val="00121B09"/>
    <w:rsid w:val="001238BC"/>
    <w:rsid w:val="001336A7"/>
    <w:rsid w:val="00135982"/>
    <w:rsid w:val="00137CD3"/>
    <w:rsid w:val="00140698"/>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B25E4"/>
    <w:rsid w:val="001B4EA0"/>
    <w:rsid w:val="001B6669"/>
    <w:rsid w:val="001C516B"/>
    <w:rsid w:val="001C7720"/>
    <w:rsid w:val="001D6A7D"/>
    <w:rsid w:val="001F4F78"/>
    <w:rsid w:val="00201872"/>
    <w:rsid w:val="002035DC"/>
    <w:rsid w:val="00203D13"/>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66774"/>
    <w:rsid w:val="00272210"/>
    <w:rsid w:val="002739DF"/>
    <w:rsid w:val="002756D6"/>
    <w:rsid w:val="00275D4C"/>
    <w:rsid w:val="00281CDC"/>
    <w:rsid w:val="00283030"/>
    <w:rsid w:val="00293D36"/>
    <w:rsid w:val="002A450D"/>
    <w:rsid w:val="002A5C66"/>
    <w:rsid w:val="002B2826"/>
    <w:rsid w:val="002B2D30"/>
    <w:rsid w:val="002B32D9"/>
    <w:rsid w:val="002B5BA3"/>
    <w:rsid w:val="002B74D9"/>
    <w:rsid w:val="002C6301"/>
    <w:rsid w:val="002D20A9"/>
    <w:rsid w:val="002D4376"/>
    <w:rsid w:val="002D544F"/>
    <w:rsid w:val="002E6882"/>
    <w:rsid w:val="002F14CF"/>
    <w:rsid w:val="002F4487"/>
    <w:rsid w:val="002F493C"/>
    <w:rsid w:val="002F5304"/>
    <w:rsid w:val="00300447"/>
    <w:rsid w:val="0030375E"/>
    <w:rsid w:val="00305939"/>
    <w:rsid w:val="00311558"/>
    <w:rsid w:val="00314177"/>
    <w:rsid w:val="0032044F"/>
    <w:rsid w:val="00321FC5"/>
    <w:rsid w:val="00331CEF"/>
    <w:rsid w:val="003358F9"/>
    <w:rsid w:val="0033626C"/>
    <w:rsid w:val="0034268F"/>
    <w:rsid w:val="00344137"/>
    <w:rsid w:val="00347B35"/>
    <w:rsid w:val="0035383F"/>
    <w:rsid w:val="00356725"/>
    <w:rsid w:val="003658A4"/>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D0E8F"/>
    <w:rsid w:val="003D1175"/>
    <w:rsid w:val="003D5ADA"/>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77EE"/>
    <w:rsid w:val="0048456E"/>
    <w:rsid w:val="00487426"/>
    <w:rsid w:val="00487BE8"/>
    <w:rsid w:val="00493336"/>
    <w:rsid w:val="004970A7"/>
    <w:rsid w:val="004A0F55"/>
    <w:rsid w:val="004A26BD"/>
    <w:rsid w:val="004B481C"/>
    <w:rsid w:val="004B5798"/>
    <w:rsid w:val="004C29B1"/>
    <w:rsid w:val="004C2C65"/>
    <w:rsid w:val="004D032E"/>
    <w:rsid w:val="004D1940"/>
    <w:rsid w:val="004D1DE8"/>
    <w:rsid w:val="004D6A49"/>
    <w:rsid w:val="004E04BB"/>
    <w:rsid w:val="004E51A7"/>
    <w:rsid w:val="004F4DA9"/>
    <w:rsid w:val="004F56E7"/>
    <w:rsid w:val="00506377"/>
    <w:rsid w:val="0051099D"/>
    <w:rsid w:val="00512CB6"/>
    <w:rsid w:val="00513CAD"/>
    <w:rsid w:val="00514644"/>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00F7"/>
    <w:rsid w:val="005864E1"/>
    <w:rsid w:val="00594AAC"/>
    <w:rsid w:val="00595E80"/>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2AA3"/>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96F89"/>
    <w:rsid w:val="006A0524"/>
    <w:rsid w:val="006A7570"/>
    <w:rsid w:val="006B2444"/>
    <w:rsid w:val="006B4F56"/>
    <w:rsid w:val="006C1798"/>
    <w:rsid w:val="006C5A74"/>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6781A"/>
    <w:rsid w:val="00771429"/>
    <w:rsid w:val="0077143D"/>
    <w:rsid w:val="00771943"/>
    <w:rsid w:val="00771D45"/>
    <w:rsid w:val="00776398"/>
    <w:rsid w:val="0078040E"/>
    <w:rsid w:val="00784C41"/>
    <w:rsid w:val="0078544C"/>
    <w:rsid w:val="00791216"/>
    <w:rsid w:val="00793125"/>
    <w:rsid w:val="0079640F"/>
    <w:rsid w:val="007A2C7D"/>
    <w:rsid w:val="007A617C"/>
    <w:rsid w:val="007A7F7D"/>
    <w:rsid w:val="007B40A5"/>
    <w:rsid w:val="007B65AB"/>
    <w:rsid w:val="007C511D"/>
    <w:rsid w:val="007C76E3"/>
    <w:rsid w:val="007D3B8B"/>
    <w:rsid w:val="007E179D"/>
    <w:rsid w:val="007E19C9"/>
    <w:rsid w:val="007E3D9B"/>
    <w:rsid w:val="007E6774"/>
    <w:rsid w:val="007F040B"/>
    <w:rsid w:val="007F52AA"/>
    <w:rsid w:val="007F774C"/>
    <w:rsid w:val="00802858"/>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69A4"/>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88F"/>
    <w:rsid w:val="008D5D7C"/>
    <w:rsid w:val="008D73E6"/>
    <w:rsid w:val="008E4B9D"/>
    <w:rsid w:val="008E74FF"/>
    <w:rsid w:val="00902EC8"/>
    <w:rsid w:val="00903116"/>
    <w:rsid w:val="00903BD2"/>
    <w:rsid w:val="00913DEC"/>
    <w:rsid w:val="00915246"/>
    <w:rsid w:val="00924E9C"/>
    <w:rsid w:val="0092538F"/>
    <w:rsid w:val="00930F43"/>
    <w:rsid w:val="00931589"/>
    <w:rsid w:val="00932A9C"/>
    <w:rsid w:val="009335C5"/>
    <w:rsid w:val="009335EB"/>
    <w:rsid w:val="00935AE4"/>
    <w:rsid w:val="00940207"/>
    <w:rsid w:val="009422DB"/>
    <w:rsid w:val="0094381A"/>
    <w:rsid w:val="0095189B"/>
    <w:rsid w:val="009544B4"/>
    <w:rsid w:val="009552E2"/>
    <w:rsid w:val="00960CF0"/>
    <w:rsid w:val="00962E16"/>
    <w:rsid w:val="00964794"/>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2171"/>
    <w:rsid w:val="00A14A59"/>
    <w:rsid w:val="00A15891"/>
    <w:rsid w:val="00A165AB"/>
    <w:rsid w:val="00A20742"/>
    <w:rsid w:val="00A22BCB"/>
    <w:rsid w:val="00A24068"/>
    <w:rsid w:val="00A31081"/>
    <w:rsid w:val="00A32078"/>
    <w:rsid w:val="00A341C3"/>
    <w:rsid w:val="00A37BE7"/>
    <w:rsid w:val="00A42FD6"/>
    <w:rsid w:val="00A51EE2"/>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69B"/>
    <w:rsid w:val="00B21EFB"/>
    <w:rsid w:val="00B225E2"/>
    <w:rsid w:val="00B2405C"/>
    <w:rsid w:val="00B2572C"/>
    <w:rsid w:val="00B41E27"/>
    <w:rsid w:val="00B4209E"/>
    <w:rsid w:val="00B430BC"/>
    <w:rsid w:val="00B44707"/>
    <w:rsid w:val="00B5049A"/>
    <w:rsid w:val="00B5479D"/>
    <w:rsid w:val="00B54AE4"/>
    <w:rsid w:val="00B622F0"/>
    <w:rsid w:val="00B73158"/>
    <w:rsid w:val="00B77F41"/>
    <w:rsid w:val="00B942AE"/>
    <w:rsid w:val="00B9505D"/>
    <w:rsid w:val="00B95C27"/>
    <w:rsid w:val="00B95DB6"/>
    <w:rsid w:val="00BA3FAC"/>
    <w:rsid w:val="00BA6BAC"/>
    <w:rsid w:val="00BB107E"/>
    <w:rsid w:val="00BB58DD"/>
    <w:rsid w:val="00BB5A7C"/>
    <w:rsid w:val="00BB7A48"/>
    <w:rsid w:val="00BC0047"/>
    <w:rsid w:val="00BC480B"/>
    <w:rsid w:val="00BC6A16"/>
    <w:rsid w:val="00BC7011"/>
    <w:rsid w:val="00BD4E15"/>
    <w:rsid w:val="00BD5B1D"/>
    <w:rsid w:val="00BF00FE"/>
    <w:rsid w:val="00BF4113"/>
    <w:rsid w:val="00BF6AB8"/>
    <w:rsid w:val="00BF7CCD"/>
    <w:rsid w:val="00C041D3"/>
    <w:rsid w:val="00C07A85"/>
    <w:rsid w:val="00C2391A"/>
    <w:rsid w:val="00C24DDD"/>
    <w:rsid w:val="00C373B1"/>
    <w:rsid w:val="00C37868"/>
    <w:rsid w:val="00C459F2"/>
    <w:rsid w:val="00C46A1B"/>
    <w:rsid w:val="00C6143D"/>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38B"/>
    <w:rsid w:val="00D544A6"/>
    <w:rsid w:val="00D55B73"/>
    <w:rsid w:val="00D60C29"/>
    <w:rsid w:val="00D617D1"/>
    <w:rsid w:val="00D65B36"/>
    <w:rsid w:val="00D664D3"/>
    <w:rsid w:val="00D87ECF"/>
    <w:rsid w:val="00D92E50"/>
    <w:rsid w:val="00D94DF8"/>
    <w:rsid w:val="00DA03F2"/>
    <w:rsid w:val="00DA1A21"/>
    <w:rsid w:val="00DB0FD6"/>
    <w:rsid w:val="00DB1054"/>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0DD8"/>
    <w:rsid w:val="00DF4C6B"/>
    <w:rsid w:val="00DF68DB"/>
    <w:rsid w:val="00E02F7D"/>
    <w:rsid w:val="00E04A14"/>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9547D"/>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00799"/>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1BD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F5E0D-5F84-4567-B467-E3135577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2025-01-07T08:24:00Z</cp:lastPrinted>
  <dcterms:created xsi:type="dcterms:W3CDTF">2024-12-20T08:55:00Z</dcterms:created>
  <dcterms:modified xsi:type="dcterms:W3CDTF">2025-01-07T08:30:00Z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