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7A4AE2E" w:rsidR="007B21B6" w:rsidRPr="00293D36" w:rsidRDefault="00DA7F9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80E443C" w:rsidR="007B21B6" w:rsidRPr="00293D36" w:rsidRDefault="00DA7F9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65C877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A7F9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9212F" w:rsidRPr="00DA7F9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D004C2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A7F9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212F" w:rsidRPr="00DA7F9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DA7F93" w:rsidRPr="00DA7F9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F665B5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9212F" w:rsidRPr="00DA7F9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 810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E8E647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9212F" w:rsidRPr="00DA7F9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Mergers and acquisitions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17B2263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921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45DA32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921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15E465AD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1D572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AF0DF0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80BA1A2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172D6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172D6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7428DC5" w:rsidR="00C824A3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Briefly explain the factors affecting the valuation of mergers and acquisitions.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E8DD60E" w:rsidR="00C824A3" w:rsidRPr="00D307C6" w:rsidRDefault="00172D6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4E1D9E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F41EF6A" w:rsidR="00C824A3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Describe the concept of anti-takeover amendments and their importance.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3028702" w:rsidR="00C824A3" w:rsidRPr="00D307C6" w:rsidRDefault="00172D6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884DD4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6CBA9D6" w:rsidR="00C824A3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Discuss the relevance of the SEBI Guidelines in the context of mergers and acquisitions.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3E1541E" w:rsidR="00C824A3" w:rsidRPr="00D307C6" w:rsidRDefault="00172D6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9FB96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E202DC0" w:rsidR="00C824A3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What are the key steps in identifying a target for a merger or acquisition?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7BFA175" w:rsidR="00C824A3" w:rsidRPr="00D307C6" w:rsidRDefault="00172D6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3DE4FF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D2C31CD" w:rsidR="00C824A3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Highlight the key provisions of the Companies Act, 2013, related to mergers and acquisitions.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9A83A9D" w:rsidR="00C824A3" w:rsidRPr="00D307C6" w:rsidRDefault="00172D60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3DABE6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0E2CE86" w:rsidR="00076DE0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Discuss the role of negotiation and deal closure in the merger process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63D2A37" w:rsidR="00076DE0" w:rsidRPr="00D307C6" w:rsidRDefault="00172D6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E52BAE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</w:tbl>
    <w:p w14:paraId="4151365E" w14:textId="2DE16D52" w:rsidR="000B6C33" w:rsidRDefault="00AF0DF0" w:rsidP="00AF0DF0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899A4AE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012084A" w:rsidR="00D307C6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Compare and contrast the different methods of merger valuation: asset-based, income-based, and market-based approaches.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6E16F2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A7F93">
            <w:pPr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705885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9A7622F" w:rsidR="00387FD2" w:rsidRPr="000C0D3A" w:rsidRDefault="00306873" w:rsidP="00DA7F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C0D3A">
              <w:rPr>
                <w:rFonts w:ascii="Cambria" w:hAnsi="Cambria" w:cstheme="minorHAnsi"/>
                <w:sz w:val="24"/>
                <w:szCs w:val="24"/>
              </w:rPr>
              <w:t>Evaluate the organizational and human aspects of mergers and acquisitions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B696B2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95359" w14:textId="77777777" w:rsidR="00C942AD" w:rsidRDefault="00C942AD">
      <w:pPr>
        <w:spacing w:line="240" w:lineRule="auto"/>
      </w:pPr>
      <w:r>
        <w:separator/>
      </w:r>
    </w:p>
  </w:endnote>
  <w:endnote w:type="continuationSeparator" w:id="0">
    <w:p w14:paraId="0FB4D60C" w14:textId="77777777" w:rsidR="00C942AD" w:rsidRDefault="00C94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D6BC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D6BC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3725" w14:textId="77777777" w:rsidR="00C942AD" w:rsidRDefault="00C942AD">
      <w:pPr>
        <w:spacing w:after="0"/>
      </w:pPr>
      <w:r>
        <w:separator/>
      </w:r>
    </w:p>
  </w:footnote>
  <w:footnote w:type="continuationSeparator" w:id="0">
    <w:p w14:paraId="6D618209" w14:textId="77777777" w:rsidR="00C942AD" w:rsidRDefault="00C942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212F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C0D3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2D60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D6BCF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873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2947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567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4061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0DF0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2AD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7F93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B321860-21E7-4743-A49C-E5D5B74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99E81-15B4-45BA-82E9-53C6C442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2024-12-16T15:10:00Z</dcterms:created>
  <dcterms:modified xsi:type="dcterms:W3CDTF">2025-01-30T04:37:00Z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