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08E262E" w:rsidR="007B21B6" w:rsidRPr="00293D36" w:rsidRDefault="009F6F12" w:rsidP="0058729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D922B11" w:rsidR="007B21B6" w:rsidRPr="00293D36" w:rsidRDefault="009F6F12"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1B5A498" w:rsidR="00053EB1" w:rsidRDefault="00053EB1" w:rsidP="009F6F12">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8729F">
              <w:rPr>
                <w:rFonts w:ascii="Cambria" w:hAnsi="Cambria" w:cstheme="minorHAnsi"/>
                <w:b/>
                <w:color w:val="000000" w:themeColor="text1"/>
                <w:sz w:val="24"/>
                <w:szCs w:val="24"/>
                <w:lang w:val="en-GB"/>
              </w:rPr>
              <w:t xml:space="preserve"> </w:t>
            </w:r>
            <w:r w:rsidR="009F6F12" w:rsidRPr="009F6F12">
              <w:rPr>
                <w:rFonts w:ascii="Cambria" w:hAnsi="Cambria" w:cstheme="minorHAnsi"/>
                <w:color w:val="000000" w:themeColor="text1"/>
                <w:sz w:val="24"/>
                <w:szCs w:val="24"/>
                <w:lang w:val="en-GB"/>
              </w:rPr>
              <w:t>SOM</w:t>
            </w:r>
          </w:p>
        </w:tc>
        <w:tc>
          <w:tcPr>
            <w:tcW w:w="6388" w:type="dxa"/>
            <w:gridSpan w:val="2"/>
            <w:vAlign w:val="center"/>
          </w:tcPr>
          <w:p w14:paraId="6E4E1677" w14:textId="5ADB92F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8729F">
              <w:rPr>
                <w:rFonts w:ascii="Cambria" w:hAnsi="Cambria" w:cstheme="minorHAnsi"/>
                <w:b/>
                <w:color w:val="000000" w:themeColor="text1"/>
                <w:sz w:val="24"/>
                <w:szCs w:val="24"/>
              </w:rPr>
              <w:t xml:space="preserve"> </w:t>
            </w:r>
            <w:r w:rsidR="0058729F" w:rsidRPr="009F6F12">
              <w:rPr>
                <w:rFonts w:ascii="Cambria" w:hAnsi="Cambria" w:cstheme="minorHAnsi"/>
                <w:color w:val="000000" w:themeColor="text1"/>
                <w:sz w:val="24"/>
                <w:szCs w:val="24"/>
              </w:rPr>
              <w:t>Ph</w:t>
            </w:r>
            <w:r w:rsidR="009F6F12" w:rsidRPr="009F6F12">
              <w:rPr>
                <w:rFonts w:ascii="Cambria" w:hAnsi="Cambria" w:cstheme="minorHAnsi"/>
                <w:color w:val="000000" w:themeColor="text1"/>
                <w:sz w:val="24"/>
                <w:szCs w:val="24"/>
              </w:rPr>
              <w:t>.</w:t>
            </w:r>
            <w:r w:rsidR="0058729F" w:rsidRPr="009F6F12">
              <w:rPr>
                <w:rFonts w:ascii="Cambria" w:hAnsi="Cambria" w:cstheme="minorHAnsi"/>
                <w:color w:val="000000" w:themeColor="text1"/>
                <w:sz w:val="24"/>
                <w:szCs w:val="24"/>
              </w:rPr>
              <w:t>D</w:t>
            </w:r>
            <w:r w:rsidR="009F6F12" w:rsidRPr="009F6F12">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067FCF5F" w:rsidR="00053EB1" w:rsidRPr="00860A55" w:rsidRDefault="00053EB1" w:rsidP="00574BB0">
            <w:pPr>
              <w:spacing w:after="0" w:line="360" w:lineRule="auto"/>
              <w:rPr>
                <w:rFonts w:ascii="Arial" w:hAnsi="Arial" w:cs="Arial"/>
                <w:color w:val="000000" w:themeColor="text1"/>
              </w:rPr>
            </w:pPr>
            <w:r>
              <w:rPr>
                <w:rFonts w:ascii="Cambria" w:hAnsi="Cambria" w:cstheme="minorHAnsi"/>
                <w:b/>
                <w:color w:val="000000" w:themeColor="text1"/>
                <w:sz w:val="24"/>
                <w:szCs w:val="24"/>
              </w:rPr>
              <w:t>Course Code :</w:t>
            </w:r>
            <w:r w:rsidR="009F6F12">
              <w:rPr>
                <w:rFonts w:ascii="Arial" w:hAnsi="Arial" w:cs="Arial"/>
                <w:b/>
                <w:color w:val="000000" w:themeColor="text1"/>
              </w:rPr>
              <w:t xml:space="preserve"> </w:t>
            </w:r>
            <w:r w:rsidR="009F6F12" w:rsidRPr="009F6F12">
              <w:rPr>
                <w:rFonts w:ascii="Arial" w:hAnsi="Arial" w:cs="Arial"/>
                <w:color w:val="000000" w:themeColor="text1"/>
              </w:rPr>
              <w:t>MGT</w:t>
            </w:r>
            <w:r w:rsidR="00D252D0" w:rsidRPr="009F6F12">
              <w:rPr>
                <w:rFonts w:ascii="Arial" w:hAnsi="Arial" w:cs="Arial"/>
                <w:color w:val="000000" w:themeColor="text1"/>
              </w:rPr>
              <w:t>921</w:t>
            </w:r>
          </w:p>
        </w:tc>
        <w:tc>
          <w:tcPr>
            <w:tcW w:w="6388" w:type="dxa"/>
            <w:gridSpan w:val="2"/>
            <w:vAlign w:val="center"/>
          </w:tcPr>
          <w:p w14:paraId="5B7E2C6B" w14:textId="5937CCEF" w:rsidR="00053EB1" w:rsidRDefault="00053EB1" w:rsidP="00D252D0">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860A55">
              <w:rPr>
                <w:rFonts w:ascii="Cambria" w:hAnsi="Cambria" w:cstheme="minorHAnsi"/>
                <w:b/>
                <w:color w:val="000000" w:themeColor="text1"/>
                <w:sz w:val="24"/>
                <w:szCs w:val="24"/>
              </w:rPr>
              <w:t xml:space="preserve"> </w:t>
            </w:r>
            <w:r w:rsidR="009F6F12" w:rsidRPr="009F6F12">
              <w:rPr>
                <w:rFonts w:ascii="Arial" w:hAnsi="Arial" w:cs="Arial"/>
                <w:color w:val="000000" w:themeColor="text1"/>
              </w:rPr>
              <w:t>Diversity, Equity, and Inclusion (DEI) for HR Professionals</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318204E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60A55">
              <w:rPr>
                <w:rFonts w:ascii="Cambria" w:hAnsi="Cambria" w:cstheme="minorHAnsi"/>
                <w:color w:val="000000" w:themeColor="text1"/>
                <w:sz w:val="24"/>
                <w:szCs w:val="24"/>
              </w:rPr>
              <w:t xml:space="preserve"> 100</w:t>
            </w:r>
          </w:p>
        </w:tc>
        <w:tc>
          <w:tcPr>
            <w:tcW w:w="2986" w:type="dxa"/>
            <w:vAlign w:val="center"/>
          </w:tcPr>
          <w:p w14:paraId="14698EC9" w14:textId="4CC0FFD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F6F12">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EB536A4"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0DAA5669"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1CCF1B3"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5EA5E4BC" w14:textId="3864DF9C"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AD686BD"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CEAE259" w14:textId="77777777" w:rsidR="00B138FE" w:rsidRDefault="00B138FE"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9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194"/>
        <w:gridCol w:w="845"/>
        <w:gridCol w:w="663"/>
        <w:gridCol w:w="12"/>
      </w:tblGrid>
      <w:tr w:rsidR="00D307C6" w:rsidRPr="00293D36" w14:paraId="63B20AA6" w14:textId="4119CCD9" w:rsidTr="004B6C9A">
        <w:trPr>
          <w:trHeight w:val="522"/>
        </w:trPr>
        <w:tc>
          <w:tcPr>
            <w:tcW w:w="10991" w:type="dxa"/>
            <w:gridSpan w:val="6"/>
            <w:tcBorders>
              <w:bottom w:val="single" w:sz="12" w:space="0" w:color="auto"/>
            </w:tcBorders>
          </w:tcPr>
          <w:p w14:paraId="15D475F4" w14:textId="3BC0BBC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B138FE">
              <w:rPr>
                <w:rFonts w:ascii="Cambria" w:hAnsi="Cambria" w:cstheme="minorHAnsi"/>
                <w:b/>
                <w:bCs/>
                <w:sz w:val="24"/>
                <w:szCs w:val="24"/>
              </w:rPr>
              <w:t xml:space="preserve">10 </w:t>
            </w:r>
            <w:bookmarkStart w:id="0" w:name="_GoBack"/>
            <w:bookmarkEnd w:id="0"/>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7246ED" w:rsidRPr="00293D36" w14:paraId="3026CF88" w14:textId="12BDD24F" w:rsidTr="004B6C9A">
        <w:trPr>
          <w:gridAfter w:val="1"/>
          <w:wAfter w:w="12" w:type="dxa"/>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C40EF82" w:rsidR="007246ED" w:rsidRPr="00E94841" w:rsidRDefault="00E94841" w:rsidP="00E94841">
            <w:pPr>
              <w:spacing w:after="160" w:line="259" w:lineRule="auto"/>
            </w:pPr>
            <w:r w:rsidRPr="00114C10">
              <w:t>Analyze the difficulties organizations face in using DEIB data and suggest solutions.</w:t>
            </w:r>
          </w:p>
        </w:tc>
        <w:tc>
          <w:tcPr>
            <w:tcW w:w="1194" w:type="dxa"/>
            <w:tcBorders>
              <w:top w:val="single" w:sz="12" w:space="0" w:color="auto"/>
              <w:left w:val="dotted" w:sz="4" w:space="0" w:color="auto"/>
              <w:bottom w:val="dotted" w:sz="4" w:space="0" w:color="auto"/>
              <w:right w:val="dotted" w:sz="4" w:space="0" w:color="auto"/>
            </w:tcBorders>
          </w:tcPr>
          <w:p w14:paraId="3E39EFC4" w14:textId="395BD056"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71931CC7"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03541BC3" w:rsidR="007246ED" w:rsidRDefault="007246ED" w:rsidP="007246ED">
            <w:pPr>
              <w:jc w:val="center"/>
              <w:rPr>
                <w:rFonts w:ascii="Cambria" w:hAnsi="Cambria" w:cstheme="minorHAnsi"/>
                <w:b/>
                <w:sz w:val="24"/>
                <w:szCs w:val="24"/>
              </w:rPr>
            </w:pPr>
            <w:r>
              <w:rPr>
                <w:rFonts w:ascii="Cambria" w:hAnsi="Cambria" w:cstheme="minorHAnsi"/>
                <w:b/>
                <w:sz w:val="24"/>
                <w:szCs w:val="24"/>
              </w:rPr>
              <w:t>CO1</w:t>
            </w:r>
          </w:p>
        </w:tc>
      </w:tr>
      <w:tr w:rsidR="007246ED" w:rsidRPr="00293D36" w14:paraId="1B8E9375" w14:textId="1F264430" w:rsidTr="004B6C9A">
        <w:trPr>
          <w:gridAfter w:val="1"/>
          <w:wAfter w:w="12" w:type="dxa"/>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593538A" w:rsidR="007246ED" w:rsidRPr="00001365" w:rsidRDefault="00001365" w:rsidP="00001365">
            <w:pPr>
              <w:spacing w:after="160" w:line="259" w:lineRule="auto"/>
            </w:pPr>
            <w:r w:rsidRPr="00114C10">
              <w:t>Provide an in-depth discussion on the importance of belonging metrics and how they contribute to organizational success.</w:t>
            </w:r>
          </w:p>
        </w:tc>
        <w:tc>
          <w:tcPr>
            <w:tcW w:w="1194" w:type="dxa"/>
            <w:tcBorders>
              <w:top w:val="dotted" w:sz="4" w:space="0" w:color="auto"/>
              <w:left w:val="dotted" w:sz="4" w:space="0" w:color="auto"/>
              <w:bottom w:val="dotted" w:sz="4" w:space="0" w:color="auto"/>
              <w:right w:val="dotted" w:sz="4" w:space="0" w:color="auto"/>
            </w:tcBorders>
          </w:tcPr>
          <w:p w14:paraId="3F8D684F" w14:textId="56A8F034"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EBCBA43"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7982BD4A" w:rsidR="007246ED" w:rsidRDefault="007246ED" w:rsidP="007246ED">
            <w:pPr>
              <w:jc w:val="center"/>
              <w:rPr>
                <w:rFonts w:ascii="Cambria" w:hAnsi="Cambria" w:cstheme="minorHAnsi"/>
                <w:b/>
                <w:sz w:val="24"/>
                <w:szCs w:val="24"/>
              </w:rPr>
            </w:pPr>
            <w:r>
              <w:rPr>
                <w:rFonts w:ascii="Cambria" w:hAnsi="Cambria" w:cstheme="minorHAnsi"/>
                <w:b/>
                <w:sz w:val="24"/>
                <w:szCs w:val="24"/>
              </w:rPr>
              <w:t>CO1</w:t>
            </w:r>
          </w:p>
        </w:tc>
      </w:tr>
      <w:tr w:rsidR="007246ED" w:rsidRPr="00293D36" w14:paraId="5F84D05D" w14:textId="58E55F22" w:rsidTr="004B6C9A">
        <w:trPr>
          <w:gridAfter w:val="1"/>
          <w:wAfter w:w="12" w:type="dxa"/>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B9C35DD" w:rsidR="007246ED" w:rsidRPr="00BE3820" w:rsidRDefault="00BE3820" w:rsidP="00BE3820">
            <w:pPr>
              <w:spacing w:after="160" w:line="259" w:lineRule="auto"/>
            </w:pPr>
            <w:r w:rsidRPr="00114C10">
              <w:t>Discuss the ethical challenges in DEIB data collection and analysis and how organizations can address them.</w:t>
            </w:r>
          </w:p>
        </w:tc>
        <w:tc>
          <w:tcPr>
            <w:tcW w:w="1194" w:type="dxa"/>
            <w:tcBorders>
              <w:top w:val="dotted" w:sz="4" w:space="0" w:color="auto"/>
              <w:left w:val="dotted" w:sz="4" w:space="0" w:color="auto"/>
              <w:bottom w:val="dotted" w:sz="4" w:space="0" w:color="auto"/>
              <w:right w:val="dotted" w:sz="4" w:space="0" w:color="auto"/>
            </w:tcBorders>
          </w:tcPr>
          <w:p w14:paraId="00084352" w14:textId="2328FC2A"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7BF7ECC1"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475DEB2F" w:rsidR="007246ED" w:rsidRDefault="007246ED" w:rsidP="007246ED">
            <w:pPr>
              <w:jc w:val="center"/>
              <w:rPr>
                <w:rFonts w:ascii="Cambria" w:hAnsi="Cambria" w:cstheme="minorHAnsi"/>
                <w:b/>
                <w:sz w:val="24"/>
                <w:szCs w:val="24"/>
              </w:rPr>
            </w:pPr>
            <w:r>
              <w:rPr>
                <w:rFonts w:ascii="Cambria" w:hAnsi="Cambria" w:cstheme="minorHAnsi"/>
                <w:b/>
                <w:sz w:val="24"/>
                <w:szCs w:val="24"/>
              </w:rPr>
              <w:t>CO2</w:t>
            </w:r>
          </w:p>
        </w:tc>
      </w:tr>
      <w:tr w:rsidR="007246ED" w:rsidRPr="00293D36" w14:paraId="6BA36377" w14:textId="1F5DC35D" w:rsidTr="004B6C9A">
        <w:trPr>
          <w:gridAfter w:val="1"/>
          <w:wAfter w:w="12" w:type="dxa"/>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5886217" w:rsidR="007246ED" w:rsidRPr="00213BFD" w:rsidRDefault="00213BFD" w:rsidP="00213BFD">
            <w:pPr>
              <w:spacing w:after="160" w:line="259" w:lineRule="auto"/>
            </w:pPr>
            <w:r>
              <w:t xml:space="preserve">Discuss </w:t>
            </w:r>
            <w:r w:rsidRPr="00114C10">
              <w:t>strategies for sustaining DEIB efforts over time in a multicultural environment.</w:t>
            </w:r>
          </w:p>
        </w:tc>
        <w:tc>
          <w:tcPr>
            <w:tcW w:w="1194" w:type="dxa"/>
            <w:tcBorders>
              <w:top w:val="dotted" w:sz="4" w:space="0" w:color="auto"/>
              <w:left w:val="dotted" w:sz="4" w:space="0" w:color="auto"/>
              <w:bottom w:val="dotted" w:sz="4" w:space="0" w:color="auto"/>
              <w:right w:val="dotted" w:sz="4" w:space="0" w:color="auto"/>
            </w:tcBorders>
          </w:tcPr>
          <w:p w14:paraId="43148440" w14:textId="122FB333"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23B62EF8"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1CFAA5B1" w:rsidR="007246ED" w:rsidRDefault="007246ED" w:rsidP="007246ED">
            <w:pPr>
              <w:jc w:val="center"/>
              <w:rPr>
                <w:rFonts w:ascii="Cambria" w:hAnsi="Cambria" w:cstheme="minorHAnsi"/>
                <w:b/>
                <w:sz w:val="24"/>
                <w:szCs w:val="24"/>
              </w:rPr>
            </w:pPr>
            <w:r>
              <w:rPr>
                <w:rFonts w:ascii="Cambria" w:hAnsi="Cambria" w:cstheme="minorHAnsi"/>
                <w:b/>
                <w:sz w:val="24"/>
                <w:szCs w:val="24"/>
              </w:rPr>
              <w:t>CO2</w:t>
            </w:r>
          </w:p>
        </w:tc>
      </w:tr>
      <w:tr w:rsidR="007246ED" w:rsidRPr="00293D36" w14:paraId="2B1E1DFD" w14:textId="3F03E895" w:rsidTr="004B6C9A">
        <w:trPr>
          <w:gridAfter w:val="1"/>
          <w:wAfter w:w="12" w:type="dxa"/>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46FA86F5" w:rsidR="007246ED" w:rsidRPr="00213BFD" w:rsidRDefault="00213BFD" w:rsidP="00213BFD">
            <w:pPr>
              <w:spacing w:after="160" w:line="259" w:lineRule="auto"/>
            </w:pPr>
            <w:r w:rsidRPr="00114C10">
              <w:t>What challenges might arise when fostering inclusivity in virtual teams, and how can these be overcome?</w:t>
            </w:r>
          </w:p>
        </w:tc>
        <w:tc>
          <w:tcPr>
            <w:tcW w:w="1194" w:type="dxa"/>
            <w:tcBorders>
              <w:top w:val="dotted" w:sz="4" w:space="0" w:color="auto"/>
              <w:left w:val="dotted" w:sz="4" w:space="0" w:color="auto"/>
              <w:bottom w:val="dotted" w:sz="4" w:space="0" w:color="auto"/>
              <w:right w:val="dotted" w:sz="4" w:space="0" w:color="auto"/>
            </w:tcBorders>
          </w:tcPr>
          <w:p w14:paraId="1475CA8E" w14:textId="7C95FCB0"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3F75950E"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6D009B8F" w:rsidR="007246ED" w:rsidRDefault="007246ED" w:rsidP="007246ED">
            <w:pPr>
              <w:jc w:val="center"/>
              <w:rPr>
                <w:rFonts w:ascii="Cambria" w:hAnsi="Cambria" w:cstheme="minorHAnsi"/>
                <w:b/>
                <w:sz w:val="24"/>
                <w:szCs w:val="24"/>
              </w:rPr>
            </w:pPr>
            <w:r>
              <w:rPr>
                <w:rFonts w:ascii="Cambria" w:hAnsi="Cambria" w:cstheme="minorHAnsi"/>
                <w:b/>
                <w:sz w:val="24"/>
                <w:szCs w:val="24"/>
              </w:rPr>
              <w:t>CO3</w:t>
            </w:r>
          </w:p>
        </w:tc>
      </w:tr>
      <w:tr w:rsidR="007246ED" w:rsidRPr="00293D36" w14:paraId="725634CF" w14:textId="77777777" w:rsidTr="004B6C9A">
        <w:trPr>
          <w:gridAfter w:val="1"/>
          <w:wAfter w:w="12" w:type="dxa"/>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7246ED" w:rsidRDefault="007246ED" w:rsidP="007246ED">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5B9B17D8" w:rsidR="007246ED" w:rsidRPr="00903FEB" w:rsidRDefault="00903FEB" w:rsidP="00903FEB">
            <w:pPr>
              <w:spacing w:after="160" w:line="259" w:lineRule="auto"/>
            </w:pPr>
            <w:r w:rsidRPr="00114C10">
              <w:t>Discuss the role of career paths and competencies for Chief Diversity Officers (CDOs) in promoting DEI.</w:t>
            </w:r>
          </w:p>
        </w:tc>
        <w:tc>
          <w:tcPr>
            <w:tcW w:w="1194" w:type="dxa"/>
            <w:tcBorders>
              <w:top w:val="dotted" w:sz="4" w:space="0" w:color="auto"/>
              <w:left w:val="dotted" w:sz="4" w:space="0" w:color="auto"/>
              <w:bottom w:val="single" w:sz="12" w:space="0" w:color="auto"/>
              <w:right w:val="dotted" w:sz="4" w:space="0" w:color="auto"/>
            </w:tcBorders>
          </w:tcPr>
          <w:p w14:paraId="20888597" w14:textId="629AECD8"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758F74C0" w:rsidR="007246ED" w:rsidRDefault="007246ED" w:rsidP="007246ED">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191C5A9F" w:rsidR="007246ED" w:rsidRDefault="007246ED" w:rsidP="007246ED">
            <w:pPr>
              <w:jc w:val="center"/>
              <w:rPr>
                <w:rFonts w:ascii="Cambria" w:hAnsi="Cambria" w:cstheme="minorHAnsi"/>
                <w:b/>
                <w:sz w:val="24"/>
                <w:szCs w:val="24"/>
              </w:rPr>
            </w:pPr>
            <w:r>
              <w:rPr>
                <w:rFonts w:ascii="Cambria" w:hAnsi="Cambria" w:cstheme="minorHAnsi"/>
                <w:b/>
                <w:sz w:val="24"/>
                <w:szCs w:val="24"/>
              </w:rPr>
              <w:t>CO4</w:t>
            </w:r>
          </w:p>
        </w:tc>
      </w:tr>
    </w:tbl>
    <w:p w14:paraId="33C101D5" w14:textId="77777777" w:rsidR="00BA77F5" w:rsidRDefault="00894339" w:rsidP="00BA77F5">
      <w:pPr>
        <w:rPr>
          <w:rFonts w:ascii="Cambria" w:hAnsi="Cambria" w:cstheme="minorHAnsi"/>
          <w:b/>
          <w:sz w:val="28"/>
          <w:szCs w:val="28"/>
        </w:rPr>
      </w:pPr>
      <w:r>
        <w:rPr>
          <w:rFonts w:ascii="Cambria" w:hAnsi="Cambria" w:cstheme="minorHAnsi"/>
          <w:b/>
          <w:sz w:val="28"/>
          <w:szCs w:val="28"/>
        </w:rPr>
        <w:t xml:space="preserve">                                                                              </w:t>
      </w:r>
    </w:p>
    <w:p w14:paraId="245BA097" w14:textId="77777777" w:rsidR="00BA77F5" w:rsidRDefault="00BA77F5" w:rsidP="00BA77F5">
      <w:pPr>
        <w:rPr>
          <w:rFonts w:ascii="Cambria" w:hAnsi="Cambria" w:cstheme="minorHAnsi"/>
          <w:b/>
          <w:sz w:val="28"/>
          <w:szCs w:val="28"/>
        </w:rPr>
      </w:pPr>
    </w:p>
    <w:p w14:paraId="36846A1D" w14:textId="27694574" w:rsidR="001539B8" w:rsidRPr="00D8462B" w:rsidRDefault="00BA77F5" w:rsidP="00BA77F5">
      <w:pPr>
        <w:ind w:left="4320"/>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9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37"/>
      </w:tblGrid>
      <w:tr w:rsidR="00D8462B" w:rsidRPr="00293D36" w14:paraId="64D5F967" w14:textId="09AB0D70" w:rsidTr="00493FD3">
        <w:trPr>
          <w:trHeight w:val="318"/>
        </w:trPr>
        <w:tc>
          <w:tcPr>
            <w:tcW w:w="10942"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493FD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6C5E4848"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300D82D0" w:rsidR="00D307C6" w:rsidRPr="00903FEB" w:rsidRDefault="00903FEB" w:rsidP="00903FEB">
            <w:pPr>
              <w:spacing w:after="160" w:line="259" w:lineRule="auto"/>
            </w:pPr>
            <w:r w:rsidRPr="00114C10">
              <w:t>Analyze the effectiveness of bias-reduction strategies in managing diversity.</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2ECBBE8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7246ED">
              <w:rPr>
                <w:rFonts w:ascii="Cambria" w:hAnsi="Cambria" w:cstheme="minorHAnsi"/>
                <w:b/>
                <w:sz w:val="24"/>
                <w:szCs w:val="24"/>
              </w:rPr>
              <w:t>5</w:t>
            </w:r>
          </w:p>
        </w:tc>
        <w:tc>
          <w:tcPr>
            <w:tcW w:w="737" w:type="dxa"/>
            <w:tcBorders>
              <w:top w:val="single" w:sz="12" w:space="0" w:color="auto"/>
              <w:left w:val="dotted" w:sz="4" w:space="0" w:color="auto"/>
              <w:bottom w:val="dotted" w:sz="4" w:space="0" w:color="auto"/>
              <w:right w:val="single" w:sz="12" w:space="0" w:color="auto"/>
            </w:tcBorders>
            <w:vAlign w:val="center"/>
          </w:tcPr>
          <w:p w14:paraId="1C187FFE" w14:textId="143FE8E0"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76440D">
              <w:rPr>
                <w:rFonts w:ascii="Cambria" w:hAnsi="Cambria" w:cstheme="minorHAnsi"/>
                <w:b/>
                <w:sz w:val="24"/>
                <w:szCs w:val="24"/>
              </w:rPr>
              <w:t>4</w:t>
            </w:r>
          </w:p>
        </w:tc>
      </w:tr>
      <w:tr w:rsidR="00DA4EC4" w:rsidRPr="00293D36" w14:paraId="51698AB6" w14:textId="1FD3CD7D" w:rsidTr="00493FD3">
        <w:trPr>
          <w:trHeight w:val="142"/>
        </w:trPr>
        <w:tc>
          <w:tcPr>
            <w:tcW w:w="10942"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493FD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0C420F0E"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3E4AF3C" w14:textId="07DC1CE4" w:rsidR="00B970DE" w:rsidRDefault="00B970DE" w:rsidP="00B970DE">
            <w:pPr>
              <w:rPr>
                <w:b/>
                <w:bCs/>
              </w:rPr>
            </w:pPr>
            <w:r>
              <w:rPr>
                <w:b/>
                <w:bCs/>
              </w:rPr>
              <w:t>Case Study</w:t>
            </w:r>
          </w:p>
          <w:p w14:paraId="1C9E916F" w14:textId="42918694" w:rsidR="00B970DE" w:rsidRPr="00F35F30" w:rsidRDefault="00B970DE" w:rsidP="00B970DE">
            <w:r w:rsidRPr="00F35F30">
              <w:rPr>
                <w:b/>
                <w:bCs/>
              </w:rPr>
              <w:t>Background</w:t>
            </w:r>
            <w:r w:rsidRPr="00F35F30">
              <w:t>:</w:t>
            </w:r>
            <w:r w:rsidRPr="00F35F30">
              <w:br/>
              <w:t>Salesforce, a global leader in customer relationship management (CRM) software, identified that despite its commitment to equality, there were pay disparities within its workforce based on gender and race. Recognizing the need to address these disparities and foster an inclusive workplace, Salesforce launched its Equality Initiative. The program aimed to ensure equal pay for equal work, promote diversity at all levels, and establish a culture of inclusivity.</w:t>
            </w:r>
          </w:p>
          <w:p w14:paraId="0A3E1CF4" w14:textId="77777777" w:rsidR="00B970DE" w:rsidRPr="00F35F30" w:rsidRDefault="00B970DE" w:rsidP="00B970DE">
            <w:r w:rsidRPr="00F35F30">
              <w:rPr>
                <w:b/>
                <w:bCs/>
              </w:rPr>
              <w:t>Actions Taken</w:t>
            </w:r>
            <w:r w:rsidRPr="00F35F30">
              <w:t>:</w:t>
            </w:r>
          </w:p>
          <w:p w14:paraId="0BE97703" w14:textId="77777777" w:rsidR="00B970DE" w:rsidRPr="00F35F30" w:rsidRDefault="00B970DE" w:rsidP="00B970DE">
            <w:pPr>
              <w:numPr>
                <w:ilvl w:val="0"/>
                <w:numId w:val="13"/>
              </w:numPr>
              <w:spacing w:after="160" w:line="259" w:lineRule="auto"/>
            </w:pPr>
            <w:r w:rsidRPr="00F35F30">
              <w:rPr>
                <w:b/>
                <w:bCs/>
              </w:rPr>
              <w:t>Pay Equity Audit</w:t>
            </w:r>
            <w:r w:rsidRPr="00F35F30">
              <w:t>: Salesforce conducted a comprehensive analysis of employee salaries, identifying gaps in pay between men and women and among racial/ethnic groups.</w:t>
            </w:r>
          </w:p>
          <w:p w14:paraId="168774AD" w14:textId="77777777" w:rsidR="00B970DE" w:rsidRPr="00F35F30" w:rsidRDefault="00B970DE" w:rsidP="00B970DE">
            <w:pPr>
              <w:numPr>
                <w:ilvl w:val="0"/>
                <w:numId w:val="13"/>
              </w:numPr>
              <w:spacing w:after="160" w:line="259" w:lineRule="auto"/>
            </w:pPr>
            <w:r w:rsidRPr="00F35F30">
              <w:rPr>
                <w:b/>
                <w:bCs/>
              </w:rPr>
              <w:t>Adjusting Pay</w:t>
            </w:r>
            <w:r w:rsidRPr="00F35F30">
              <w:t>: Allocated $3 million to address pay disparities across the organization.</w:t>
            </w:r>
          </w:p>
          <w:p w14:paraId="6593C85E" w14:textId="77777777" w:rsidR="00B970DE" w:rsidRPr="00F35F30" w:rsidRDefault="00B970DE" w:rsidP="00B970DE">
            <w:pPr>
              <w:numPr>
                <w:ilvl w:val="0"/>
                <w:numId w:val="13"/>
              </w:numPr>
              <w:spacing w:after="160" w:line="259" w:lineRule="auto"/>
            </w:pPr>
            <w:r w:rsidRPr="00F35F30">
              <w:rPr>
                <w:b/>
                <w:bCs/>
              </w:rPr>
              <w:t>Employee Resource Groups (ERGs)</w:t>
            </w:r>
            <w:r w:rsidRPr="00F35F30">
              <w:t xml:space="preserve">: Established groups such as Women’s Network and </w:t>
            </w:r>
            <w:proofErr w:type="spellStart"/>
            <w:r w:rsidRPr="00F35F30">
              <w:t>BOLDforce</w:t>
            </w:r>
            <w:proofErr w:type="spellEnd"/>
            <w:r w:rsidRPr="00F35F30">
              <w:t xml:space="preserve"> (Black Organization for Leadership and Development) to support underrepresented employees and provide mentorship.</w:t>
            </w:r>
          </w:p>
          <w:p w14:paraId="717AAED7" w14:textId="77777777" w:rsidR="00B970DE" w:rsidRPr="00F35F30" w:rsidRDefault="00B970DE" w:rsidP="00B970DE">
            <w:pPr>
              <w:numPr>
                <w:ilvl w:val="0"/>
                <w:numId w:val="13"/>
              </w:numPr>
              <w:spacing w:after="160" w:line="259" w:lineRule="auto"/>
            </w:pPr>
            <w:r w:rsidRPr="00F35F30">
              <w:rPr>
                <w:b/>
                <w:bCs/>
              </w:rPr>
              <w:t>Leadership Training</w:t>
            </w:r>
            <w:r w:rsidRPr="00F35F30">
              <w:t>: Introduced unconscious bias training programs for managers to ensure fair decision-making in hiring, promotions, and daily interactions.</w:t>
            </w:r>
          </w:p>
          <w:p w14:paraId="0A924F24" w14:textId="77777777" w:rsidR="00B970DE" w:rsidRPr="00F35F30" w:rsidRDefault="00B970DE" w:rsidP="00B970DE">
            <w:pPr>
              <w:numPr>
                <w:ilvl w:val="0"/>
                <w:numId w:val="13"/>
              </w:numPr>
              <w:spacing w:after="160" w:line="259" w:lineRule="auto"/>
            </w:pPr>
            <w:r w:rsidRPr="00F35F30">
              <w:rPr>
                <w:b/>
                <w:bCs/>
              </w:rPr>
              <w:t>Transparency and Accountability</w:t>
            </w:r>
            <w:r w:rsidRPr="00F35F30">
              <w:t>: Published annual Equality Progress Reports to share their progress with employees and the public.</w:t>
            </w:r>
          </w:p>
          <w:p w14:paraId="29F2D43F" w14:textId="77777777" w:rsidR="00B970DE" w:rsidRPr="00F35F30" w:rsidRDefault="00B970DE" w:rsidP="00B970DE">
            <w:r w:rsidRPr="00F35F30">
              <w:rPr>
                <w:b/>
                <w:bCs/>
              </w:rPr>
              <w:t>Challenges Faced</w:t>
            </w:r>
            <w:r w:rsidRPr="00F35F30">
              <w:t>:</w:t>
            </w:r>
          </w:p>
          <w:p w14:paraId="63C54941" w14:textId="77777777" w:rsidR="00B970DE" w:rsidRPr="00F35F30" w:rsidRDefault="00B970DE" w:rsidP="00B970DE">
            <w:pPr>
              <w:numPr>
                <w:ilvl w:val="0"/>
                <w:numId w:val="14"/>
              </w:numPr>
              <w:spacing w:after="160" w:line="259" w:lineRule="auto"/>
            </w:pPr>
            <w:r w:rsidRPr="00F35F30">
              <w:t>Resistance from certain departments in accepting changes to salary structures.</w:t>
            </w:r>
          </w:p>
          <w:p w14:paraId="229830AF" w14:textId="77777777" w:rsidR="00B970DE" w:rsidRPr="00F35F30" w:rsidRDefault="00B970DE" w:rsidP="00B970DE">
            <w:pPr>
              <w:numPr>
                <w:ilvl w:val="0"/>
                <w:numId w:val="14"/>
              </w:numPr>
              <w:spacing w:after="160" w:line="259" w:lineRule="auto"/>
            </w:pPr>
            <w:r w:rsidRPr="00F35F30">
              <w:t>Difficulty in addressing intersectionality (overlapping social identities and related systems of oppression).</w:t>
            </w:r>
          </w:p>
          <w:p w14:paraId="43907CE5" w14:textId="77777777" w:rsidR="00B970DE" w:rsidRPr="00F35F30" w:rsidRDefault="00B970DE" w:rsidP="00B970DE">
            <w:pPr>
              <w:numPr>
                <w:ilvl w:val="0"/>
                <w:numId w:val="14"/>
              </w:numPr>
              <w:spacing w:after="160" w:line="259" w:lineRule="auto"/>
            </w:pPr>
            <w:r w:rsidRPr="00F35F30">
              <w:t>Sustaining momentum in a global organization with diverse legal and cultural contexts.</w:t>
            </w:r>
          </w:p>
          <w:p w14:paraId="1914366F" w14:textId="77777777" w:rsidR="00B970DE" w:rsidRPr="00F35F30" w:rsidRDefault="00B970DE" w:rsidP="00B970DE"/>
          <w:p w14:paraId="3779009D" w14:textId="77777777" w:rsidR="00B970DE" w:rsidRPr="00F35F30" w:rsidRDefault="00B970DE" w:rsidP="00B970DE">
            <w:r w:rsidRPr="00F35F30">
              <w:rPr>
                <w:b/>
                <w:bCs/>
              </w:rPr>
              <w:t>Results</w:t>
            </w:r>
            <w:r w:rsidRPr="00F35F30">
              <w:t>:</w:t>
            </w:r>
          </w:p>
          <w:p w14:paraId="38195B08" w14:textId="77777777" w:rsidR="00B970DE" w:rsidRPr="00F35F30" w:rsidRDefault="00B970DE" w:rsidP="00B970DE">
            <w:pPr>
              <w:numPr>
                <w:ilvl w:val="0"/>
                <w:numId w:val="15"/>
              </w:numPr>
              <w:spacing w:after="160" w:line="259" w:lineRule="auto"/>
            </w:pPr>
            <w:r w:rsidRPr="00F35F30">
              <w:rPr>
                <w:b/>
                <w:bCs/>
              </w:rPr>
              <w:t>Financial Adjustments</w:t>
            </w:r>
            <w:r w:rsidRPr="00F35F30">
              <w:t>: Over $10 million spent over five years to address pay inequities.</w:t>
            </w:r>
          </w:p>
          <w:p w14:paraId="3FC60D22" w14:textId="77777777" w:rsidR="00B970DE" w:rsidRPr="00F35F30" w:rsidRDefault="00B970DE" w:rsidP="00B970DE">
            <w:pPr>
              <w:numPr>
                <w:ilvl w:val="0"/>
                <w:numId w:val="15"/>
              </w:numPr>
              <w:spacing w:after="160" w:line="259" w:lineRule="auto"/>
            </w:pPr>
            <w:r w:rsidRPr="00F35F30">
              <w:rPr>
                <w:b/>
                <w:bCs/>
              </w:rPr>
              <w:t>Increased Representation</w:t>
            </w:r>
            <w:r w:rsidRPr="00F35F30">
              <w:t>: Women represented 35% of leadership positions by 2023, up from 28% in 2018.</w:t>
            </w:r>
          </w:p>
          <w:p w14:paraId="2BF2B947" w14:textId="77777777" w:rsidR="00B970DE" w:rsidRPr="00F35F30" w:rsidRDefault="00B970DE" w:rsidP="00B970DE">
            <w:pPr>
              <w:numPr>
                <w:ilvl w:val="0"/>
                <w:numId w:val="15"/>
              </w:numPr>
              <w:spacing w:after="160" w:line="259" w:lineRule="auto"/>
            </w:pPr>
            <w:r w:rsidRPr="00F35F30">
              <w:rPr>
                <w:b/>
                <w:bCs/>
              </w:rPr>
              <w:t>Employee Engagement</w:t>
            </w:r>
            <w:r w:rsidRPr="00F35F30">
              <w:t>: Surveys showed a 20% increase in employees feeling valued and included.</w:t>
            </w:r>
          </w:p>
          <w:p w14:paraId="19BAB029" w14:textId="4DA6B7B4" w:rsidR="00B970DE" w:rsidRDefault="00B970DE" w:rsidP="00B970DE">
            <w:pPr>
              <w:numPr>
                <w:ilvl w:val="0"/>
                <w:numId w:val="15"/>
              </w:numPr>
              <w:spacing w:after="160" w:line="259" w:lineRule="auto"/>
            </w:pPr>
            <w:r w:rsidRPr="00F35F30">
              <w:rPr>
                <w:b/>
                <w:bCs/>
              </w:rPr>
              <w:t>Recognition</w:t>
            </w:r>
            <w:r w:rsidRPr="00F35F30">
              <w:t>: Salesforce was ranked among the top companies for diversity and inclusion by Forbes and Glassdoor.</w:t>
            </w:r>
          </w:p>
          <w:p w14:paraId="0FE24D7C" w14:textId="58F140FE" w:rsidR="00B970DE" w:rsidRDefault="00B970DE" w:rsidP="00B970DE">
            <w:pPr>
              <w:spacing w:after="160" w:line="259" w:lineRule="auto"/>
            </w:pPr>
            <w:r>
              <w:rPr>
                <w:b/>
                <w:bCs/>
              </w:rPr>
              <w:t>Questions</w:t>
            </w:r>
            <w:r w:rsidRPr="00B970DE">
              <w:t>:</w:t>
            </w:r>
          </w:p>
          <w:p w14:paraId="2D0BC639" w14:textId="047F79FE" w:rsidR="00B970DE" w:rsidRDefault="00B970DE" w:rsidP="00B970DE">
            <w:pPr>
              <w:pStyle w:val="ListParagraph"/>
              <w:numPr>
                <w:ilvl w:val="0"/>
                <w:numId w:val="16"/>
              </w:numPr>
              <w:spacing w:after="160" w:line="259" w:lineRule="auto"/>
            </w:pPr>
            <w:r w:rsidRPr="00F35F30">
              <w:t>What key steps did Salesforce take to address pay disparities and promote inclusivity across the organization?</w:t>
            </w:r>
          </w:p>
          <w:p w14:paraId="37C04A3B" w14:textId="77777777" w:rsidR="00B970DE" w:rsidRDefault="00B970DE" w:rsidP="00B970DE">
            <w:pPr>
              <w:pStyle w:val="ListParagraph"/>
              <w:numPr>
                <w:ilvl w:val="0"/>
                <w:numId w:val="16"/>
              </w:numPr>
              <w:spacing w:after="160" w:line="259" w:lineRule="auto"/>
            </w:pPr>
            <w:r w:rsidRPr="00F35F30">
              <w:t>What challenges might arise when implementing DEI initiatives in a global organization, and how can they be addressed?</w:t>
            </w:r>
          </w:p>
          <w:p w14:paraId="66EC84E2" w14:textId="77777777" w:rsidR="00B970DE" w:rsidRPr="00F35F30" w:rsidRDefault="00B970DE" w:rsidP="00B970DE">
            <w:pPr>
              <w:pStyle w:val="ListParagraph"/>
              <w:numPr>
                <w:ilvl w:val="0"/>
                <w:numId w:val="16"/>
              </w:numPr>
              <w:spacing w:after="160" w:line="259" w:lineRule="auto"/>
            </w:pPr>
            <w:r w:rsidRPr="00F35F30">
              <w:t>If you were tasked with designing a pay equity audit for your organization, what factors would you consider, and why?</w:t>
            </w:r>
          </w:p>
          <w:p w14:paraId="3A5728C4" w14:textId="77777777" w:rsidR="00B970DE" w:rsidRPr="00F35F30" w:rsidRDefault="00B970DE" w:rsidP="00B970DE">
            <w:pPr>
              <w:spacing w:after="160" w:line="259" w:lineRule="auto"/>
            </w:pPr>
          </w:p>
          <w:p w14:paraId="6BA1BF6A" w14:textId="05B21A10" w:rsidR="00387FD2" w:rsidRPr="00041C29" w:rsidRDefault="00387FD2" w:rsidP="00041C29">
            <w:pPr>
              <w:ind w:left="360"/>
              <w:jc w:val="both"/>
              <w:rPr>
                <w:rFonts w:ascii="Times New Roman" w:hAnsi="Times New Roman"/>
                <w:sz w:val="24"/>
                <w:szCs w:val="24"/>
                <w:lang w:val="en-IN"/>
              </w:rPr>
            </w:pP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lastRenderedPageBreak/>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1858833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246ED">
              <w:rPr>
                <w:rFonts w:ascii="Cambria" w:hAnsi="Cambria" w:cstheme="minorHAnsi"/>
                <w:b/>
                <w:sz w:val="24"/>
                <w:szCs w:val="24"/>
              </w:rPr>
              <w:t>5</w:t>
            </w:r>
          </w:p>
        </w:tc>
        <w:tc>
          <w:tcPr>
            <w:tcW w:w="737" w:type="dxa"/>
            <w:tcBorders>
              <w:top w:val="single" w:sz="12" w:space="0" w:color="auto"/>
              <w:left w:val="dotted" w:sz="4" w:space="0" w:color="auto"/>
              <w:bottom w:val="dotted" w:sz="4" w:space="0" w:color="auto"/>
              <w:right w:val="single" w:sz="12" w:space="0" w:color="auto"/>
            </w:tcBorders>
            <w:vAlign w:val="center"/>
          </w:tcPr>
          <w:p w14:paraId="30947D43" w14:textId="06104E0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6440D">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FF6EA" w14:textId="77777777" w:rsidR="009E5FE2" w:rsidRDefault="009E5FE2">
      <w:pPr>
        <w:spacing w:line="240" w:lineRule="auto"/>
      </w:pPr>
      <w:r>
        <w:separator/>
      </w:r>
    </w:p>
  </w:endnote>
  <w:endnote w:type="continuationSeparator" w:id="0">
    <w:p w14:paraId="2B4CF7C8" w14:textId="77777777" w:rsidR="009E5FE2" w:rsidRDefault="009E5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CE73049"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138F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138FE">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09F4B" w14:textId="77777777" w:rsidR="009E5FE2" w:rsidRDefault="009E5FE2">
      <w:pPr>
        <w:spacing w:after="0"/>
      </w:pPr>
      <w:r>
        <w:separator/>
      </w:r>
    </w:p>
  </w:footnote>
  <w:footnote w:type="continuationSeparator" w:id="0">
    <w:p w14:paraId="5DD29E68" w14:textId="77777777" w:rsidR="009E5FE2" w:rsidRDefault="009E5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82D57"/>
    <w:multiLevelType w:val="hybridMultilevel"/>
    <w:tmpl w:val="F404DA08"/>
    <w:lvl w:ilvl="0" w:tplc="605E4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6C47059"/>
    <w:multiLevelType w:val="hybridMultilevel"/>
    <w:tmpl w:val="52EEE0CC"/>
    <w:lvl w:ilvl="0" w:tplc="AB729E62">
      <w:start w:val="1"/>
      <w:numFmt w:val="decimal"/>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16382E"/>
    <w:multiLevelType w:val="hybridMultilevel"/>
    <w:tmpl w:val="128E42F4"/>
    <w:lvl w:ilvl="0" w:tplc="FC90E59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0748C2"/>
    <w:multiLevelType w:val="multilevel"/>
    <w:tmpl w:val="048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14CFE"/>
    <w:multiLevelType w:val="multilevel"/>
    <w:tmpl w:val="F03E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B232D1"/>
    <w:multiLevelType w:val="multilevel"/>
    <w:tmpl w:val="7BA0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3EB86B82"/>
    <w:multiLevelType w:val="hybridMultilevel"/>
    <w:tmpl w:val="353CC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0">
    <w:nsid w:val="4B780CD2"/>
    <w:multiLevelType w:val="multilevel"/>
    <w:tmpl w:val="079C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7F44B1"/>
    <w:multiLevelType w:val="multilevel"/>
    <w:tmpl w:val="DF6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27002"/>
    <w:multiLevelType w:val="multilevel"/>
    <w:tmpl w:val="B2B8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651E6"/>
    <w:multiLevelType w:val="multilevel"/>
    <w:tmpl w:val="4098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lvlOverride w:ilvl="0">
      <w:startOverride w:val="1"/>
    </w:lvlOverride>
  </w:num>
  <w:num w:numId="2">
    <w:abstractNumId w:val="7"/>
  </w:num>
  <w:num w:numId="3">
    <w:abstractNumId w:val="15"/>
  </w:num>
  <w:num w:numId="4">
    <w:abstractNumId w:val="14"/>
  </w:num>
  <w:num w:numId="5">
    <w:abstractNumId w:val="1"/>
  </w:num>
  <w:num w:numId="6">
    <w:abstractNumId w:val="0"/>
  </w:num>
  <w:num w:numId="7">
    <w:abstractNumId w:val="3"/>
  </w:num>
  <w:num w:numId="8">
    <w:abstractNumId w:val="8"/>
  </w:num>
  <w:num w:numId="9">
    <w:abstractNumId w:val="10"/>
  </w:num>
  <w:num w:numId="10">
    <w:abstractNumId w:val="11"/>
  </w:num>
  <w:num w:numId="11">
    <w:abstractNumId w:val="5"/>
  </w:num>
  <w:num w:numId="12">
    <w:abstractNumId w:val="6"/>
  </w:num>
  <w:num w:numId="13">
    <w:abstractNumId w:val="13"/>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1365"/>
    <w:rsid w:val="000208B7"/>
    <w:rsid w:val="0002657D"/>
    <w:rsid w:val="00030CF0"/>
    <w:rsid w:val="00033373"/>
    <w:rsid w:val="00034BCB"/>
    <w:rsid w:val="000358D4"/>
    <w:rsid w:val="00040B79"/>
    <w:rsid w:val="00041C29"/>
    <w:rsid w:val="00044CE0"/>
    <w:rsid w:val="000503AF"/>
    <w:rsid w:val="00050D08"/>
    <w:rsid w:val="000524BC"/>
    <w:rsid w:val="0005250D"/>
    <w:rsid w:val="00053EB1"/>
    <w:rsid w:val="00056855"/>
    <w:rsid w:val="00062418"/>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6DD7"/>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27A5"/>
    <w:rsid w:val="00153139"/>
    <w:rsid w:val="001539B8"/>
    <w:rsid w:val="00154007"/>
    <w:rsid w:val="001551F7"/>
    <w:rsid w:val="00155797"/>
    <w:rsid w:val="00161A5E"/>
    <w:rsid w:val="00162063"/>
    <w:rsid w:val="00162C93"/>
    <w:rsid w:val="00171DF6"/>
    <w:rsid w:val="00174926"/>
    <w:rsid w:val="00176495"/>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BFD"/>
    <w:rsid w:val="00213E56"/>
    <w:rsid w:val="002247E5"/>
    <w:rsid w:val="00224CD7"/>
    <w:rsid w:val="002269FD"/>
    <w:rsid w:val="00231206"/>
    <w:rsid w:val="0023199C"/>
    <w:rsid w:val="00231ACB"/>
    <w:rsid w:val="00234A37"/>
    <w:rsid w:val="002412B1"/>
    <w:rsid w:val="00242999"/>
    <w:rsid w:val="002458B2"/>
    <w:rsid w:val="00247065"/>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10B8"/>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3CAF"/>
    <w:rsid w:val="00344137"/>
    <w:rsid w:val="00347B35"/>
    <w:rsid w:val="0035383F"/>
    <w:rsid w:val="00356725"/>
    <w:rsid w:val="00366AF1"/>
    <w:rsid w:val="00370765"/>
    <w:rsid w:val="0037238A"/>
    <w:rsid w:val="00375C6E"/>
    <w:rsid w:val="003806D6"/>
    <w:rsid w:val="00382606"/>
    <w:rsid w:val="003868DC"/>
    <w:rsid w:val="00386D60"/>
    <w:rsid w:val="00387FD2"/>
    <w:rsid w:val="003903AF"/>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17D14"/>
    <w:rsid w:val="004247E2"/>
    <w:rsid w:val="004254EB"/>
    <w:rsid w:val="00426434"/>
    <w:rsid w:val="00431EE1"/>
    <w:rsid w:val="00442088"/>
    <w:rsid w:val="00453997"/>
    <w:rsid w:val="00453B62"/>
    <w:rsid w:val="004579D9"/>
    <w:rsid w:val="00461CCB"/>
    <w:rsid w:val="00461E48"/>
    <w:rsid w:val="00466283"/>
    <w:rsid w:val="00467C30"/>
    <w:rsid w:val="00467E84"/>
    <w:rsid w:val="00471BF7"/>
    <w:rsid w:val="00473B63"/>
    <w:rsid w:val="004777EE"/>
    <w:rsid w:val="00487426"/>
    <w:rsid w:val="00493336"/>
    <w:rsid w:val="00493FD3"/>
    <w:rsid w:val="00494223"/>
    <w:rsid w:val="004970A7"/>
    <w:rsid w:val="004A0F55"/>
    <w:rsid w:val="004A26BD"/>
    <w:rsid w:val="004B1221"/>
    <w:rsid w:val="004B5798"/>
    <w:rsid w:val="004B6C9A"/>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BB0"/>
    <w:rsid w:val="00574E0E"/>
    <w:rsid w:val="00575833"/>
    <w:rsid w:val="00575F65"/>
    <w:rsid w:val="00575F88"/>
    <w:rsid w:val="00576E85"/>
    <w:rsid w:val="005864E1"/>
    <w:rsid w:val="0058729F"/>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0CF9"/>
    <w:rsid w:val="00611F35"/>
    <w:rsid w:val="00615EAB"/>
    <w:rsid w:val="0061738C"/>
    <w:rsid w:val="00623A07"/>
    <w:rsid w:val="0063203F"/>
    <w:rsid w:val="00640399"/>
    <w:rsid w:val="006404F0"/>
    <w:rsid w:val="00643D36"/>
    <w:rsid w:val="006443B0"/>
    <w:rsid w:val="0064503F"/>
    <w:rsid w:val="006473D5"/>
    <w:rsid w:val="00647454"/>
    <w:rsid w:val="00652E20"/>
    <w:rsid w:val="0065359A"/>
    <w:rsid w:val="00654228"/>
    <w:rsid w:val="006665F5"/>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D4EE3"/>
    <w:rsid w:val="006E4807"/>
    <w:rsid w:val="006F611B"/>
    <w:rsid w:val="006F763D"/>
    <w:rsid w:val="00705673"/>
    <w:rsid w:val="00706225"/>
    <w:rsid w:val="0071300E"/>
    <w:rsid w:val="00714CEF"/>
    <w:rsid w:val="00717A6E"/>
    <w:rsid w:val="00722830"/>
    <w:rsid w:val="007236AB"/>
    <w:rsid w:val="007242FB"/>
    <w:rsid w:val="007246ED"/>
    <w:rsid w:val="00730E03"/>
    <w:rsid w:val="0073303C"/>
    <w:rsid w:val="00734CF6"/>
    <w:rsid w:val="00737F04"/>
    <w:rsid w:val="00740D26"/>
    <w:rsid w:val="00740D28"/>
    <w:rsid w:val="0075459F"/>
    <w:rsid w:val="00756430"/>
    <w:rsid w:val="00757D9B"/>
    <w:rsid w:val="00763C67"/>
    <w:rsid w:val="0076440D"/>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097A"/>
    <w:rsid w:val="007E141D"/>
    <w:rsid w:val="007E179D"/>
    <w:rsid w:val="007E19C9"/>
    <w:rsid w:val="007E3D9B"/>
    <w:rsid w:val="007E6774"/>
    <w:rsid w:val="007F040B"/>
    <w:rsid w:val="007F774C"/>
    <w:rsid w:val="00802858"/>
    <w:rsid w:val="00805D96"/>
    <w:rsid w:val="00806949"/>
    <w:rsid w:val="0081006C"/>
    <w:rsid w:val="00811B47"/>
    <w:rsid w:val="008142C1"/>
    <w:rsid w:val="00830EDA"/>
    <w:rsid w:val="0083110E"/>
    <w:rsid w:val="008342E9"/>
    <w:rsid w:val="00837035"/>
    <w:rsid w:val="008462FA"/>
    <w:rsid w:val="008468B2"/>
    <w:rsid w:val="00846BF8"/>
    <w:rsid w:val="00860A55"/>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03FEB"/>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E5FE2"/>
    <w:rsid w:val="009F1CC3"/>
    <w:rsid w:val="009F22C9"/>
    <w:rsid w:val="009F3A1A"/>
    <w:rsid w:val="009F4F22"/>
    <w:rsid w:val="009F51FE"/>
    <w:rsid w:val="009F6F12"/>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670B5"/>
    <w:rsid w:val="00A7543B"/>
    <w:rsid w:val="00A765FE"/>
    <w:rsid w:val="00A80352"/>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3544"/>
    <w:rsid w:val="00B0469B"/>
    <w:rsid w:val="00B138FE"/>
    <w:rsid w:val="00B21EFB"/>
    <w:rsid w:val="00B225E2"/>
    <w:rsid w:val="00B2405C"/>
    <w:rsid w:val="00B2572C"/>
    <w:rsid w:val="00B26421"/>
    <w:rsid w:val="00B41E27"/>
    <w:rsid w:val="00B4209E"/>
    <w:rsid w:val="00B430BC"/>
    <w:rsid w:val="00B44707"/>
    <w:rsid w:val="00B5049A"/>
    <w:rsid w:val="00B5479D"/>
    <w:rsid w:val="00B54AE4"/>
    <w:rsid w:val="00B57FA7"/>
    <w:rsid w:val="00B622F0"/>
    <w:rsid w:val="00B679DC"/>
    <w:rsid w:val="00B722EA"/>
    <w:rsid w:val="00B73158"/>
    <w:rsid w:val="00B77F41"/>
    <w:rsid w:val="00B85087"/>
    <w:rsid w:val="00B942AE"/>
    <w:rsid w:val="00B95C27"/>
    <w:rsid w:val="00B95DB6"/>
    <w:rsid w:val="00B970DE"/>
    <w:rsid w:val="00BA3FAC"/>
    <w:rsid w:val="00BA6BAC"/>
    <w:rsid w:val="00BA77F5"/>
    <w:rsid w:val="00BB107E"/>
    <w:rsid w:val="00BB58DD"/>
    <w:rsid w:val="00BB5A7C"/>
    <w:rsid w:val="00BB7A48"/>
    <w:rsid w:val="00BC480B"/>
    <w:rsid w:val="00BC621A"/>
    <w:rsid w:val="00BC6A16"/>
    <w:rsid w:val="00BC7011"/>
    <w:rsid w:val="00BD4E15"/>
    <w:rsid w:val="00BD5B1D"/>
    <w:rsid w:val="00BE3820"/>
    <w:rsid w:val="00BF00FE"/>
    <w:rsid w:val="00BF4113"/>
    <w:rsid w:val="00BF6AB8"/>
    <w:rsid w:val="00BF7CCD"/>
    <w:rsid w:val="00C041D3"/>
    <w:rsid w:val="00C07A85"/>
    <w:rsid w:val="00C2391A"/>
    <w:rsid w:val="00C24DDD"/>
    <w:rsid w:val="00C3659B"/>
    <w:rsid w:val="00C373B1"/>
    <w:rsid w:val="00C459F2"/>
    <w:rsid w:val="00C47845"/>
    <w:rsid w:val="00C54BC9"/>
    <w:rsid w:val="00C628C7"/>
    <w:rsid w:val="00C70F56"/>
    <w:rsid w:val="00C719C0"/>
    <w:rsid w:val="00C731D1"/>
    <w:rsid w:val="00C74F3E"/>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52D0"/>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6A97"/>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94841"/>
    <w:rsid w:val="00EA11B7"/>
    <w:rsid w:val="00EA27F1"/>
    <w:rsid w:val="00EA4012"/>
    <w:rsid w:val="00EB75DE"/>
    <w:rsid w:val="00EC4FB2"/>
    <w:rsid w:val="00EC7222"/>
    <w:rsid w:val="00ED3D23"/>
    <w:rsid w:val="00ED4F04"/>
    <w:rsid w:val="00ED7789"/>
    <w:rsid w:val="00EE3BEE"/>
    <w:rsid w:val="00EE46EE"/>
    <w:rsid w:val="00EE596E"/>
    <w:rsid w:val="00EE5FE1"/>
    <w:rsid w:val="00EF26CC"/>
    <w:rsid w:val="00EF3B47"/>
    <w:rsid w:val="00EF3C32"/>
    <w:rsid w:val="00EF5D94"/>
    <w:rsid w:val="00F005B1"/>
    <w:rsid w:val="00F072D4"/>
    <w:rsid w:val="00F11763"/>
    <w:rsid w:val="00F12053"/>
    <w:rsid w:val="00F12225"/>
    <w:rsid w:val="00F157C1"/>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725"/>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94B6A-796E-463F-A020-F77E24F9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26</cp:revision>
  <cp:lastPrinted>2024-12-04T07:08:00Z</cp:lastPrinted>
  <dcterms:created xsi:type="dcterms:W3CDTF">2024-12-14T05:56:00Z</dcterms:created>
  <dcterms:modified xsi:type="dcterms:W3CDTF">2025-01-30T11:35:00Z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