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2280" w14:textId="77777777" w:rsidR="008E47A1" w:rsidRPr="00B602A1" w:rsidRDefault="008E47A1" w:rsidP="008E47A1">
      <w:pPr>
        <w:spacing w:after="0" w:line="240" w:lineRule="auto"/>
        <w:rPr>
          <w:rFonts w:ascii="Times New Roman" w:hAnsi="Times New Roman" w:cs="Times New Roman"/>
          <w:b/>
        </w:rPr>
      </w:pPr>
      <w:r w:rsidRPr="00B602A1">
        <w:rPr>
          <w:rFonts w:ascii="Times New Roman" w:hAnsi="Times New Roman" w:cs="Times New Roman"/>
          <w:b/>
        </w:rPr>
        <w:t>Paper No: PU-SOE-CSE-18</w:t>
      </w:r>
    </w:p>
    <w:p w14:paraId="06366723" w14:textId="77777777" w:rsidR="008E47A1" w:rsidRPr="00B602A1" w:rsidRDefault="008E47A1" w:rsidP="008E47A1">
      <w:pPr>
        <w:spacing w:after="0" w:line="240" w:lineRule="auto"/>
        <w:rPr>
          <w:rFonts w:ascii="Calibri" w:eastAsia="Times New Roman" w:hAnsi="Calibri" w:cs="Calibri"/>
          <w:b/>
          <w:color w:val="000000"/>
          <w:sz w:val="6"/>
        </w:rPr>
      </w:pPr>
    </w:p>
    <w:p w14:paraId="701F6CFF" w14:textId="77777777" w:rsidR="008E47A1" w:rsidRPr="00B602A1" w:rsidRDefault="008E47A1" w:rsidP="008E47A1">
      <w:pPr>
        <w:spacing w:after="0" w:line="240" w:lineRule="auto"/>
        <w:rPr>
          <w:rFonts w:ascii="Times New Roman" w:eastAsia="Times New Roman" w:hAnsi="Times New Roman" w:cs="Times New Roman"/>
          <w:b/>
          <w:color w:val="000000"/>
        </w:rPr>
      </w:pPr>
      <w:r w:rsidRPr="00B602A1">
        <w:rPr>
          <w:rFonts w:ascii="Calibri" w:eastAsia="Times New Roman" w:hAnsi="Calibri" w:cs="Calibri"/>
          <w:b/>
          <w:color w:val="000000"/>
        </w:rPr>
        <w:t>I</w:t>
      </w:r>
      <w:r w:rsidRPr="00B602A1">
        <w:rPr>
          <w:rFonts w:ascii="Times New Roman" w:eastAsia="Times New Roman" w:hAnsi="Times New Roman" w:cs="Times New Roman"/>
          <w:b/>
          <w:color w:val="000000"/>
        </w:rPr>
        <w:t xml:space="preserve">ntellectual Resource Sharing Scheme </w:t>
      </w:r>
      <w:r>
        <w:rPr>
          <w:rFonts w:ascii="Times New Roman" w:eastAsia="Times New Roman" w:hAnsi="Times New Roman" w:cs="Times New Roman"/>
          <w:b/>
          <w:color w:val="000000"/>
        </w:rPr>
        <w:t>i</w:t>
      </w:r>
      <w:r w:rsidRPr="00B602A1">
        <w:rPr>
          <w:rFonts w:ascii="Times New Roman" w:eastAsia="Times New Roman" w:hAnsi="Times New Roman" w:cs="Times New Roman"/>
          <w:b/>
          <w:color w:val="000000"/>
        </w:rPr>
        <w:t>n Cloud</w:t>
      </w:r>
    </w:p>
    <w:p w14:paraId="00A57730" w14:textId="77777777" w:rsidR="008E47A1" w:rsidRPr="00B602A1" w:rsidRDefault="008E47A1" w:rsidP="008E47A1">
      <w:pPr>
        <w:pStyle w:val="Heading5"/>
        <w:shd w:val="clear" w:color="auto" w:fill="FFFFFF"/>
        <w:spacing w:before="0" w:line="240" w:lineRule="auto"/>
        <w:rPr>
          <w:rFonts w:ascii="Times New Roman" w:hAnsi="Times New Roman" w:cs="Times New Roman"/>
          <w:bCs/>
          <w:color w:val="333333"/>
          <w:sz w:val="9"/>
          <w:szCs w:val="21"/>
        </w:rPr>
      </w:pPr>
    </w:p>
    <w:p w14:paraId="66DA2C59" w14:textId="77777777" w:rsidR="008E47A1" w:rsidRPr="00B602A1" w:rsidRDefault="008E47A1" w:rsidP="008E47A1">
      <w:pPr>
        <w:pStyle w:val="Heading5"/>
        <w:shd w:val="clear" w:color="auto" w:fill="FFFFFF"/>
        <w:spacing w:before="0" w:line="240" w:lineRule="auto"/>
        <w:rPr>
          <w:rFonts w:ascii="Times New Roman" w:hAnsi="Times New Roman" w:cs="Times New Roman"/>
          <w:color w:val="333333"/>
          <w:sz w:val="16"/>
          <w:szCs w:val="21"/>
        </w:rPr>
      </w:pPr>
      <w:r w:rsidRPr="00B602A1">
        <w:rPr>
          <w:rFonts w:ascii="Times New Roman" w:hAnsi="Times New Roman" w:cs="Times New Roman"/>
          <w:bCs/>
          <w:color w:val="333333"/>
          <w:sz w:val="16"/>
          <w:szCs w:val="21"/>
        </w:rPr>
        <w:t xml:space="preserve">Pardeep Kumar, </w:t>
      </w:r>
      <w:r w:rsidRPr="00B602A1">
        <w:rPr>
          <w:rFonts w:ascii="Times New Roman" w:hAnsi="Times New Roman" w:cs="Times New Roman"/>
          <w:b/>
          <w:bCs/>
          <w:color w:val="333333"/>
          <w:sz w:val="16"/>
          <w:szCs w:val="21"/>
        </w:rPr>
        <w:t xml:space="preserve">V. </w:t>
      </w:r>
      <w:proofErr w:type="spellStart"/>
      <w:r w:rsidRPr="00B602A1">
        <w:rPr>
          <w:rFonts w:ascii="Times New Roman" w:hAnsi="Times New Roman" w:cs="Times New Roman"/>
          <w:b/>
          <w:bCs/>
          <w:color w:val="333333"/>
          <w:sz w:val="16"/>
          <w:szCs w:val="21"/>
        </w:rPr>
        <w:t>Anbarsu</w:t>
      </w:r>
      <w:proofErr w:type="spellEnd"/>
      <w:r w:rsidRPr="00B602A1">
        <w:rPr>
          <w:rFonts w:ascii="Times New Roman" w:hAnsi="Times New Roman" w:cs="Times New Roman"/>
          <w:b/>
          <w:bCs/>
          <w:color w:val="333333"/>
          <w:sz w:val="16"/>
          <w:szCs w:val="21"/>
        </w:rPr>
        <w:t>,</w:t>
      </w:r>
      <w:r w:rsidRPr="00B602A1">
        <w:rPr>
          <w:rFonts w:ascii="Times New Roman" w:hAnsi="Times New Roman" w:cs="Times New Roman"/>
          <w:bCs/>
          <w:color w:val="333333"/>
          <w:sz w:val="16"/>
          <w:szCs w:val="21"/>
        </w:rPr>
        <w:t xml:space="preserve"> R. Vijayalakshmi and K. </w:t>
      </w:r>
      <w:proofErr w:type="spellStart"/>
      <w:r w:rsidRPr="00B602A1">
        <w:rPr>
          <w:rFonts w:ascii="Times New Roman" w:hAnsi="Times New Roman" w:cs="Times New Roman"/>
          <w:bCs/>
          <w:color w:val="333333"/>
          <w:sz w:val="16"/>
          <w:szCs w:val="21"/>
        </w:rPr>
        <w:t>Vengatesan</w:t>
      </w:r>
      <w:proofErr w:type="spellEnd"/>
    </w:p>
    <w:p w14:paraId="5AE45036" w14:textId="77777777" w:rsidR="008E47A1" w:rsidRPr="00B602A1" w:rsidRDefault="008E47A1" w:rsidP="008E47A1">
      <w:pPr>
        <w:spacing w:after="0" w:line="240" w:lineRule="auto"/>
        <w:jc w:val="center"/>
        <w:rPr>
          <w:rFonts w:ascii="Times New Roman" w:hAnsi="Times New Roman" w:cs="Times New Roman"/>
          <w:b/>
          <w:sz w:val="8"/>
        </w:rPr>
      </w:pPr>
    </w:p>
    <w:p w14:paraId="03E612EB" w14:textId="77777777" w:rsidR="008E47A1" w:rsidRPr="00B602A1" w:rsidRDefault="008E47A1" w:rsidP="008E47A1">
      <w:pPr>
        <w:spacing w:after="0" w:line="240" w:lineRule="auto"/>
        <w:jc w:val="center"/>
        <w:rPr>
          <w:rFonts w:ascii="Times New Roman" w:hAnsi="Times New Roman" w:cs="Times New Roman"/>
          <w:b/>
        </w:rPr>
      </w:pPr>
      <w:r w:rsidRPr="00B602A1">
        <w:rPr>
          <w:rFonts w:ascii="Times New Roman" w:hAnsi="Times New Roman" w:cs="Times New Roman"/>
          <w:b/>
        </w:rPr>
        <w:t>Abstract</w:t>
      </w:r>
    </w:p>
    <w:p w14:paraId="2C70790B" w14:textId="77777777" w:rsidR="008E47A1" w:rsidRPr="00B602A1" w:rsidRDefault="008E47A1" w:rsidP="008E47A1">
      <w:pPr>
        <w:spacing w:after="0" w:line="240" w:lineRule="auto"/>
        <w:jc w:val="center"/>
        <w:rPr>
          <w:rFonts w:ascii="Times New Roman" w:hAnsi="Times New Roman" w:cs="Times New Roman"/>
          <w:b/>
          <w:sz w:val="6"/>
        </w:rPr>
      </w:pPr>
    </w:p>
    <w:p w14:paraId="71E07342" w14:textId="77777777" w:rsidR="008E47A1" w:rsidRPr="00B602A1" w:rsidRDefault="008E47A1" w:rsidP="008E47A1">
      <w:pPr>
        <w:jc w:val="both"/>
        <w:rPr>
          <w:rFonts w:ascii="Times New Roman" w:hAnsi="Times New Roman" w:cs="Times New Roman"/>
          <w:sz w:val="20"/>
          <w:szCs w:val="20"/>
        </w:rPr>
      </w:pPr>
      <w:r w:rsidRPr="00B602A1">
        <w:rPr>
          <w:rFonts w:ascii="Times New Roman" w:hAnsi="Times New Roman" w:cs="Times New Roman"/>
          <w:sz w:val="20"/>
          <w:szCs w:val="20"/>
          <w:shd w:val="clear" w:color="auto" w:fill="FFFFFF"/>
        </w:rPr>
        <w:t xml:space="preserve">Resource allocation and the executives in Cloud Computing is an exceptionally </w:t>
      </w:r>
      <w:proofErr w:type="gramStart"/>
      <w:r w:rsidRPr="00B602A1">
        <w:rPr>
          <w:rFonts w:ascii="Times New Roman" w:hAnsi="Times New Roman" w:cs="Times New Roman"/>
          <w:sz w:val="20"/>
          <w:szCs w:val="20"/>
          <w:shd w:val="clear" w:color="auto" w:fill="FFFFFF"/>
        </w:rPr>
        <w:t>mind boggling</w:t>
      </w:r>
      <w:proofErr w:type="gramEnd"/>
      <w:r w:rsidRPr="00B602A1">
        <w:rPr>
          <w:rFonts w:ascii="Times New Roman" w:hAnsi="Times New Roman" w:cs="Times New Roman"/>
          <w:sz w:val="20"/>
          <w:szCs w:val="20"/>
          <w:shd w:val="clear" w:color="auto" w:fill="FFFFFF"/>
        </w:rPr>
        <w:t xml:space="preserve"> task. This is predominantly because of the size of the cloud and the quantity of services sent in it. Since cloud clients and service suppliers are offered access to super PC level resources, their impact over the cloud's general execution is more noteworthy than at any other time. This brings up various research issues identified with the administration and execution of cloud computing frameworks in light of the end-clients childishness. In this work we explicitly ponder the general execution when egotistical service suppliers may part work between the (common) cloud and private resources. The size of current server farm and the quantity of service housed in it calls for completely dispersed administration arrangements. In this paper, we structured a light heaviness stage is offered as independent system called "Intellectual Resource Sharing scheme", which enable the shoppers and suppliers to exchange computing resources as per their necessities</w:t>
      </w:r>
      <w:r w:rsidRPr="00B602A1">
        <w:rPr>
          <w:rFonts w:ascii="Times New Roman" w:hAnsi="Times New Roman" w:cs="Times New Roman"/>
          <w:color w:val="656565"/>
          <w:sz w:val="20"/>
          <w:szCs w:val="20"/>
          <w:shd w:val="clear" w:color="auto" w:fill="FFFFFF"/>
        </w:rPr>
        <w:t>.</w:t>
      </w:r>
    </w:p>
    <w:p w14:paraId="4AB2AA21" w14:textId="77777777" w:rsidR="008E47A1" w:rsidRPr="00B602A1" w:rsidRDefault="008E47A1" w:rsidP="008E47A1">
      <w:pPr>
        <w:spacing w:after="0" w:line="240" w:lineRule="auto"/>
        <w:jc w:val="both"/>
        <w:rPr>
          <w:rFonts w:ascii="Times New Roman" w:hAnsi="Times New Roman" w:cs="Times New Roman"/>
        </w:rPr>
      </w:pPr>
      <w:r>
        <w:rPr>
          <w:rFonts w:ascii="Times New Roman" w:hAnsi="Times New Roman" w:cs="Times New Roman"/>
          <w:b/>
        </w:rPr>
        <w:t>Keywords:</w:t>
      </w:r>
    </w:p>
    <w:p w14:paraId="43359745" w14:textId="77777777" w:rsidR="008E47A1" w:rsidRPr="00B602A1" w:rsidRDefault="008E47A1" w:rsidP="008E47A1">
      <w:pPr>
        <w:spacing w:after="0" w:line="240" w:lineRule="auto"/>
        <w:jc w:val="both"/>
        <w:rPr>
          <w:rFonts w:ascii="Times New Roman" w:hAnsi="Times New Roman" w:cs="Times New Roman"/>
          <w:sz w:val="20"/>
        </w:rPr>
      </w:pPr>
      <w:r w:rsidRPr="00B602A1">
        <w:rPr>
          <w:rFonts w:ascii="Times New Roman" w:hAnsi="Times New Roman" w:cs="Times New Roman"/>
          <w:sz w:val="20"/>
        </w:rPr>
        <w:t>MRI image, CNN, Classification, Denoising Texture.</w:t>
      </w:r>
    </w:p>
    <w:p w14:paraId="79F8FF64" w14:textId="77777777" w:rsidR="008E47A1" w:rsidRPr="00B602A1" w:rsidRDefault="008E47A1" w:rsidP="008E47A1">
      <w:pPr>
        <w:spacing w:after="0" w:line="240" w:lineRule="auto"/>
        <w:jc w:val="both"/>
        <w:rPr>
          <w:rFonts w:ascii="Times New Roman" w:hAnsi="Times New Roman" w:cs="Times New Roman"/>
          <w:b/>
        </w:rPr>
      </w:pPr>
      <w:r>
        <w:rPr>
          <w:rFonts w:ascii="Times New Roman" w:hAnsi="Times New Roman" w:cs="Times New Roman"/>
          <w:b/>
        </w:rPr>
        <w:t>Publication Details:</w:t>
      </w:r>
    </w:p>
    <w:p w14:paraId="606A8A8D" w14:textId="77777777" w:rsidR="008E47A1" w:rsidRPr="00106222" w:rsidRDefault="008E47A1" w:rsidP="008E47A1">
      <w:pPr>
        <w:spacing w:after="0" w:line="240" w:lineRule="auto"/>
        <w:jc w:val="both"/>
        <w:rPr>
          <w:rFonts w:ascii="Times New Roman" w:hAnsi="Times New Roman" w:cs="Times New Roman"/>
          <w:b/>
          <w:sz w:val="2"/>
        </w:rPr>
      </w:pPr>
    </w:p>
    <w:tbl>
      <w:tblPr>
        <w:tblW w:w="10037" w:type="dxa"/>
        <w:tblLayout w:type="fixed"/>
        <w:tblLook w:val="04A0" w:firstRow="1" w:lastRow="0" w:firstColumn="1" w:lastColumn="0" w:noHBand="0" w:noVBand="1"/>
      </w:tblPr>
      <w:tblGrid>
        <w:gridCol w:w="2880"/>
        <w:gridCol w:w="720"/>
        <w:gridCol w:w="1530"/>
        <w:gridCol w:w="1072"/>
        <w:gridCol w:w="2070"/>
        <w:gridCol w:w="1765"/>
      </w:tblGrid>
      <w:tr w:rsidR="008E47A1" w:rsidRPr="00106222" w14:paraId="251E67DC" w14:textId="77777777" w:rsidTr="00673108">
        <w:trPr>
          <w:trHeight w:val="333"/>
        </w:trPr>
        <w:tc>
          <w:tcPr>
            <w:tcW w:w="2880" w:type="dxa"/>
            <w:noWrap/>
            <w:hideMark/>
          </w:tcPr>
          <w:p w14:paraId="72521A5D" w14:textId="77777777" w:rsidR="008E47A1" w:rsidRPr="00B602A1" w:rsidRDefault="008E47A1" w:rsidP="00673108">
            <w:pPr>
              <w:spacing w:after="0" w:line="240" w:lineRule="auto"/>
              <w:jc w:val="center"/>
              <w:rPr>
                <w:rFonts w:ascii="Times New Roman" w:eastAsia="Times New Roman" w:hAnsi="Times New Roman" w:cs="Times New Roman"/>
                <w:b/>
                <w:bCs/>
                <w:color w:val="000000"/>
                <w:sz w:val="20"/>
              </w:rPr>
            </w:pPr>
            <w:r w:rsidRPr="00B602A1">
              <w:rPr>
                <w:rFonts w:ascii="Times New Roman" w:eastAsia="Times New Roman" w:hAnsi="Times New Roman" w:cs="Times New Roman"/>
                <w:b/>
                <w:bCs/>
                <w:color w:val="000000"/>
                <w:sz w:val="20"/>
              </w:rPr>
              <w:t>Journal Name</w:t>
            </w:r>
          </w:p>
        </w:tc>
        <w:tc>
          <w:tcPr>
            <w:tcW w:w="720" w:type="dxa"/>
            <w:noWrap/>
            <w:hideMark/>
          </w:tcPr>
          <w:p w14:paraId="52CA4524" w14:textId="77777777" w:rsidR="008E47A1" w:rsidRPr="00B602A1" w:rsidRDefault="008E47A1" w:rsidP="00673108">
            <w:pPr>
              <w:spacing w:after="0" w:line="240" w:lineRule="auto"/>
              <w:jc w:val="center"/>
              <w:rPr>
                <w:rFonts w:ascii="Times New Roman" w:eastAsia="Times New Roman" w:hAnsi="Times New Roman" w:cs="Times New Roman"/>
                <w:b/>
                <w:bCs/>
                <w:color w:val="000000"/>
                <w:sz w:val="20"/>
              </w:rPr>
            </w:pPr>
            <w:r w:rsidRPr="00B602A1">
              <w:rPr>
                <w:rFonts w:ascii="Times New Roman" w:eastAsia="Times New Roman" w:hAnsi="Times New Roman" w:cs="Times New Roman"/>
                <w:b/>
                <w:bCs/>
                <w:color w:val="000000"/>
                <w:sz w:val="20"/>
              </w:rPr>
              <w:t>Vol.</w:t>
            </w:r>
          </w:p>
        </w:tc>
        <w:tc>
          <w:tcPr>
            <w:tcW w:w="1530" w:type="dxa"/>
            <w:hideMark/>
          </w:tcPr>
          <w:p w14:paraId="34CB4A86" w14:textId="77777777" w:rsidR="008E47A1" w:rsidRPr="00B602A1" w:rsidRDefault="008E47A1" w:rsidP="00673108">
            <w:pPr>
              <w:spacing w:after="0" w:line="240" w:lineRule="auto"/>
              <w:rPr>
                <w:rFonts w:ascii="Times New Roman" w:eastAsia="Times New Roman" w:hAnsi="Times New Roman" w:cs="Times New Roman"/>
                <w:b/>
                <w:bCs/>
                <w:color w:val="000000"/>
                <w:sz w:val="20"/>
              </w:rPr>
            </w:pPr>
            <w:r w:rsidRPr="00B602A1">
              <w:rPr>
                <w:rFonts w:ascii="Times New Roman" w:eastAsia="Times New Roman" w:hAnsi="Times New Roman" w:cs="Times New Roman"/>
                <w:b/>
                <w:bCs/>
                <w:color w:val="000000"/>
                <w:sz w:val="20"/>
              </w:rPr>
              <w:t>Month &amp; Year</w:t>
            </w:r>
          </w:p>
        </w:tc>
        <w:tc>
          <w:tcPr>
            <w:tcW w:w="1072" w:type="dxa"/>
            <w:noWrap/>
            <w:hideMark/>
          </w:tcPr>
          <w:p w14:paraId="75F6C55A" w14:textId="77777777" w:rsidR="008E47A1" w:rsidRPr="00B602A1" w:rsidRDefault="008E47A1" w:rsidP="00673108">
            <w:pPr>
              <w:spacing w:after="0" w:line="240" w:lineRule="auto"/>
              <w:jc w:val="center"/>
              <w:rPr>
                <w:rFonts w:ascii="Times New Roman" w:eastAsia="Times New Roman" w:hAnsi="Times New Roman" w:cs="Times New Roman"/>
                <w:b/>
                <w:bCs/>
                <w:color w:val="000000"/>
                <w:sz w:val="20"/>
              </w:rPr>
            </w:pPr>
            <w:r w:rsidRPr="00B602A1">
              <w:rPr>
                <w:rFonts w:ascii="Times New Roman" w:eastAsia="Times New Roman" w:hAnsi="Times New Roman" w:cs="Times New Roman"/>
                <w:b/>
                <w:bCs/>
                <w:color w:val="000000"/>
                <w:sz w:val="20"/>
              </w:rPr>
              <w:t>Page No.</w:t>
            </w:r>
          </w:p>
        </w:tc>
        <w:tc>
          <w:tcPr>
            <w:tcW w:w="2070" w:type="dxa"/>
            <w:noWrap/>
            <w:hideMark/>
          </w:tcPr>
          <w:p w14:paraId="16FE0343" w14:textId="77777777" w:rsidR="008E47A1" w:rsidRPr="00B602A1" w:rsidRDefault="008E47A1" w:rsidP="00673108">
            <w:pPr>
              <w:spacing w:after="0" w:line="240" w:lineRule="auto"/>
              <w:jc w:val="center"/>
              <w:rPr>
                <w:rFonts w:ascii="Times New Roman" w:eastAsia="Times New Roman" w:hAnsi="Times New Roman" w:cs="Times New Roman"/>
                <w:b/>
                <w:bCs/>
                <w:color w:val="000000"/>
                <w:sz w:val="20"/>
              </w:rPr>
            </w:pPr>
            <w:r w:rsidRPr="00B602A1">
              <w:rPr>
                <w:rFonts w:ascii="Times New Roman" w:eastAsia="Times New Roman" w:hAnsi="Times New Roman" w:cs="Times New Roman"/>
                <w:b/>
                <w:bCs/>
                <w:color w:val="000000"/>
                <w:sz w:val="20"/>
              </w:rPr>
              <w:t>Publisher</w:t>
            </w:r>
          </w:p>
        </w:tc>
        <w:tc>
          <w:tcPr>
            <w:tcW w:w="1765" w:type="dxa"/>
            <w:noWrap/>
            <w:hideMark/>
          </w:tcPr>
          <w:p w14:paraId="29CFD4AB" w14:textId="77777777" w:rsidR="008E47A1" w:rsidRPr="00B602A1" w:rsidRDefault="008E47A1" w:rsidP="00673108">
            <w:pPr>
              <w:spacing w:after="0" w:line="240" w:lineRule="auto"/>
              <w:rPr>
                <w:rFonts w:ascii="Times New Roman" w:eastAsia="Times New Roman" w:hAnsi="Times New Roman" w:cs="Times New Roman"/>
                <w:b/>
                <w:bCs/>
                <w:color w:val="000000"/>
                <w:sz w:val="20"/>
              </w:rPr>
            </w:pPr>
            <w:proofErr w:type="spellStart"/>
            <w:r w:rsidRPr="00B602A1">
              <w:rPr>
                <w:rFonts w:ascii="Times New Roman" w:eastAsia="Times New Roman" w:hAnsi="Times New Roman" w:cs="Times New Roman"/>
                <w:b/>
                <w:bCs/>
                <w:color w:val="000000"/>
                <w:sz w:val="20"/>
              </w:rPr>
              <w:t>Scimago</w:t>
            </w:r>
            <w:proofErr w:type="spellEnd"/>
            <w:r w:rsidRPr="00B602A1">
              <w:rPr>
                <w:rFonts w:ascii="Times New Roman" w:eastAsia="Times New Roman" w:hAnsi="Times New Roman" w:cs="Times New Roman"/>
                <w:b/>
                <w:bCs/>
                <w:color w:val="000000"/>
                <w:sz w:val="20"/>
              </w:rPr>
              <w:t xml:space="preserve"> Ranking</w:t>
            </w:r>
          </w:p>
        </w:tc>
      </w:tr>
      <w:tr w:rsidR="008E47A1" w:rsidRPr="00106222" w14:paraId="3E95458C" w14:textId="77777777" w:rsidTr="00673108">
        <w:trPr>
          <w:trHeight w:val="360"/>
        </w:trPr>
        <w:tc>
          <w:tcPr>
            <w:tcW w:w="2880" w:type="dxa"/>
            <w:noWrap/>
            <w:hideMark/>
          </w:tcPr>
          <w:p w14:paraId="1A831E31" w14:textId="77777777" w:rsidR="008E47A1" w:rsidRPr="00B602A1" w:rsidRDefault="008E47A1" w:rsidP="00673108">
            <w:pPr>
              <w:spacing w:line="240" w:lineRule="auto"/>
              <w:jc w:val="center"/>
              <w:rPr>
                <w:rFonts w:ascii="Times New Roman" w:eastAsia="Times New Roman" w:hAnsi="Times New Roman" w:cs="Times New Roman"/>
                <w:b/>
                <w:bCs/>
                <w:color w:val="000000"/>
                <w:sz w:val="20"/>
              </w:rPr>
            </w:pPr>
            <w:r w:rsidRPr="00B602A1">
              <w:rPr>
                <w:rFonts w:ascii="Times New Roman" w:hAnsi="Times New Roman" w:cs="Times New Roman"/>
                <w:color w:val="000000"/>
                <w:sz w:val="20"/>
              </w:rPr>
              <w:t>Journal of Advanced Research in Dynamical and Control Systems</w:t>
            </w:r>
          </w:p>
        </w:tc>
        <w:tc>
          <w:tcPr>
            <w:tcW w:w="720" w:type="dxa"/>
            <w:noWrap/>
            <w:hideMark/>
          </w:tcPr>
          <w:p w14:paraId="332A0B47" w14:textId="77777777" w:rsidR="008E47A1" w:rsidRPr="00AC6B85" w:rsidRDefault="008E47A1" w:rsidP="00673108">
            <w:pPr>
              <w:spacing w:after="0" w:line="240" w:lineRule="auto"/>
              <w:jc w:val="center"/>
              <w:rPr>
                <w:rFonts w:ascii="Times New Roman" w:eastAsia="Times New Roman" w:hAnsi="Times New Roman" w:cs="Times New Roman"/>
                <w:b/>
                <w:bCs/>
                <w:sz w:val="20"/>
              </w:rPr>
            </w:pPr>
            <w:r w:rsidRPr="00AC6B85">
              <w:rPr>
                <w:rFonts w:ascii="Times New Roman" w:hAnsi="Times New Roman" w:cs="Times New Roman"/>
                <w:sz w:val="20"/>
                <w:szCs w:val="21"/>
              </w:rPr>
              <w:t>11</w:t>
            </w:r>
          </w:p>
        </w:tc>
        <w:tc>
          <w:tcPr>
            <w:tcW w:w="1530" w:type="dxa"/>
            <w:hideMark/>
          </w:tcPr>
          <w:p w14:paraId="6EFF7596" w14:textId="77777777" w:rsidR="008E47A1" w:rsidRPr="00AC6B85" w:rsidRDefault="008E47A1" w:rsidP="00673108">
            <w:pPr>
              <w:spacing w:after="0" w:line="240" w:lineRule="auto"/>
              <w:rPr>
                <w:rFonts w:ascii="Times New Roman" w:hAnsi="Times New Roman" w:cs="Times New Roman"/>
                <w:sz w:val="20"/>
              </w:rPr>
            </w:pPr>
            <w:r w:rsidRPr="00AC6B85">
              <w:rPr>
                <w:rFonts w:ascii="Times New Roman" w:hAnsi="Times New Roman" w:cs="Times New Roman"/>
                <w:sz w:val="20"/>
              </w:rPr>
              <w:t xml:space="preserve">    Dec. 2019                               </w:t>
            </w:r>
          </w:p>
          <w:p w14:paraId="594EF0AE" w14:textId="77777777" w:rsidR="008E47A1" w:rsidRPr="00AC6B85" w:rsidRDefault="008E47A1" w:rsidP="00673108">
            <w:pPr>
              <w:spacing w:after="0" w:line="240" w:lineRule="auto"/>
              <w:jc w:val="center"/>
              <w:rPr>
                <w:rFonts w:ascii="Times New Roman" w:hAnsi="Times New Roman" w:cs="Times New Roman"/>
                <w:sz w:val="20"/>
              </w:rPr>
            </w:pPr>
            <w:r w:rsidRPr="00AC6B85">
              <w:rPr>
                <w:rFonts w:ascii="Times New Roman" w:hAnsi="Times New Roman" w:cs="Times New Roman"/>
                <w:sz w:val="20"/>
              </w:rPr>
              <w:t xml:space="preserve">                                  </w:t>
            </w:r>
          </w:p>
          <w:p w14:paraId="44742059" w14:textId="77777777" w:rsidR="008E47A1" w:rsidRPr="00AC6B85" w:rsidRDefault="008E47A1" w:rsidP="00673108">
            <w:pPr>
              <w:spacing w:after="0" w:line="240" w:lineRule="auto"/>
              <w:jc w:val="center"/>
              <w:rPr>
                <w:rFonts w:ascii="Times New Roman" w:eastAsia="Times New Roman" w:hAnsi="Times New Roman" w:cs="Times New Roman"/>
                <w:b/>
                <w:bCs/>
                <w:sz w:val="20"/>
              </w:rPr>
            </w:pPr>
          </w:p>
        </w:tc>
        <w:tc>
          <w:tcPr>
            <w:tcW w:w="1072" w:type="dxa"/>
            <w:noWrap/>
          </w:tcPr>
          <w:p w14:paraId="3609C7B5" w14:textId="77777777" w:rsidR="008E47A1" w:rsidRPr="00AC6B85" w:rsidRDefault="008E47A1" w:rsidP="00673108">
            <w:pPr>
              <w:spacing w:after="0" w:line="240" w:lineRule="auto"/>
              <w:jc w:val="center"/>
              <w:rPr>
                <w:rFonts w:ascii="Times New Roman" w:eastAsia="Times New Roman" w:hAnsi="Times New Roman" w:cs="Times New Roman"/>
                <w:bCs/>
                <w:sz w:val="20"/>
              </w:rPr>
            </w:pPr>
            <w:r w:rsidRPr="00AC6B85">
              <w:rPr>
                <w:rFonts w:ascii="Times New Roman" w:eastAsia="Times New Roman" w:hAnsi="Times New Roman" w:cs="Times New Roman"/>
                <w:bCs/>
                <w:sz w:val="20"/>
              </w:rPr>
              <w:t>7-12</w:t>
            </w:r>
          </w:p>
        </w:tc>
        <w:tc>
          <w:tcPr>
            <w:tcW w:w="2070" w:type="dxa"/>
            <w:noWrap/>
          </w:tcPr>
          <w:p w14:paraId="303F2845" w14:textId="77777777" w:rsidR="008E47A1" w:rsidRPr="00B602A1" w:rsidRDefault="008E47A1" w:rsidP="00673108">
            <w:pPr>
              <w:spacing w:line="240" w:lineRule="auto"/>
              <w:jc w:val="center"/>
              <w:rPr>
                <w:rFonts w:ascii="Times New Roman" w:hAnsi="Times New Roman" w:cs="Times New Roman"/>
                <w:color w:val="000000"/>
                <w:sz w:val="20"/>
              </w:rPr>
            </w:pPr>
            <w:hyperlink r:id="rId4" w:tooltip="view all publisher's journals" w:history="1">
              <w:r w:rsidRPr="00B602A1">
                <w:rPr>
                  <w:rFonts w:ascii="Times New Roman" w:hAnsi="Times New Roman" w:cs="Times New Roman"/>
                  <w:sz w:val="20"/>
                </w:rPr>
                <w:t>Institute of Advanced Scientific Research</w:t>
              </w:r>
            </w:hyperlink>
          </w:p>
        </w:tc>
        <w:tc>
          <w:tcPr>
            <w:tcW w:w="1765" w:type="dxa"/>
            <w:noWrap/>
            <w:hideMark/>
          </w:tcPr>
          <w:p w14:paraId="01F8BDC8" w14:textId="77777777" w:rsidR="008E47A1" w:rsidRPr="00B602A1" w:rsidRDefault="008E47A1" w:rsidP="00673108">
            <w:pPr>
              <w:spacing w:after="0" w:line="240" w:lineRule="auto"/>
              <w:jc w:val="center"/>
              <w:rPr>
                <w:rFonts w:ascii="Times New Roman" w:eastAsia="Times New Roman" w:hAnsi="Times New Roman" w:cs="Times New Roman"/>
                <w:bCs/>
                <w:color w:val="000000"/>
                <w:sz w:val="20"/>
              </w:rPr>
            </w:pPr>
            <w:r w:rsidRPr="00B602A1">
              <w:rPr>
                <w:rFonts w:ascii="Times New Roman" w:eastAsia="Times New Roman" w:hAnsi="Times New Roman" w:cs="Times New Roman"/>
                <w:bCs/>
                <w:color w:val="000000"/>
                <w:sz w:val="20"/>
              </w:rPr>
              <w:t>Q3</w:t>
            </w:r>
          </w:p>
        </w:tc>
      </w:tr>
    </w:tbl>
    <w:p w14:paraId="28F2D75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47A1"/>
    <w:rsid w:val="00866CE2"/>
    <w:rsid w:val="008E47A1"/>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665"/>
  <w15:chartTrackingRefBased/>
  <w15:docId w15:val="{D4D7DDF9-B61E-414B-BFB9-EADE909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A1"/>
    <w:rPr>
      <w:lang w:val="en-US"/>
    </w:rPr>
  </w:style>
  <w:style w:type="paragraph" w:styleId="Heading5">
    <w:name w:val="heading 5"/>
    <w:basedOn w:val="Normal"/>
    <w:next w:val="Normal"/>
    <w:link w:val="Heading5Char"/>
    <w:uiPriority w:val="9"/>
    <w:semiHidden/>
    <w:unhideWhenUsed/>
    <w:qFormat/>
    <w:rsid w:val="008E47A1"/>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E47A1"/>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Advanced%20Scientific%20Research&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2022-05-18T10:11:00Z</dcterms:created>
  <dcterms:modified xsi:type="dcterms:W3CDTF">2022-05-18T10:11:00Z</dcterms:modified>
</cp:coreProperties>
</file>