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1E9A7" w14:textId="77777777" w:rsidR="00FA12B6" w:rsidRPr="002059C4" w:rsidRDefault="00FA12B6" w:rsidP="00FA12B6">
      <w:pPr>
        <w:rPr>
          <w:rFonts w:ascii="Times New Roman" w:hAnsi="Times New Roman" w:cs="Times New Roman"/>
          <w:b/>
        </w:rPr>
      </w:pPr>
      <w:r w:rsidRPr="002059C4">
        <w:rPr>
          <w:rFonts w:ascii="Times New Roman" w:hAnsi="Times New Roman" w:cs="Times New Roman"/>
          <w:b/>
        </w:rPr>
        <w:t>Paper No: PU-SOE-CSE-31</w:t>
      </w:r>
    </w:p>
    <w:p w14:paraId="52ED90BF" w14:textId="77777777" w:rsidR="00FA12B6" w:rsidRPr="00892AA3" w:rsidRDefault="00FA12B6" w:rsidP="00FA12B6">
      <w:pPr>
        <w:spacing w:after="0" w:line="240" w:lineRule="auto"/>
        <w:jc w:val="both"/>
        <w:rPr>
          <w:rFonts w:ascii="Times New Roman" w:eastAsia="Times New Roman" w:hAnsi="Times New Roman" w:cs="Times New Roman"/>
          <w:b/>
          <w:color w:val="000000"/>
          <w:sz w:val="28"/>
        </w:rPr>
      </w:pPr>
      <w:r w:rsidRPr="002059C4">
        <w:rPr>
          <w:rFonts w:ascii="Times New Roman" w:eastAsia="Times New Roman" w:hAnsi="Times New Roman" w:cs="Times New Roman"/>
          <w:b/>
          <w:color w:val="000000"/>
        </w:rPr>
        <w:t xml:space="preserve">A Novel Wolf Based Trust Accumulation Approach </w:t>
      </w:r>
      <w:r>
        <w:rPr>
          <w:rFonts w:ascii="Times New Roman" w:eastAsia="Times New Roman" w:hAnsi="Times New Roman" w:cs="Times New Roman"/>
          <w:b/>
          <w:color w:val="000000"/>
        </w:rPr>
        <w:t>f</w:t>
      </w:r>
      <w:r w:rsidRPr="002059C4">
        <w:rPr>
          <w:rFonts w:ascii="Times New Roman" w:eastAsia="Times New Roman" w:hAnsi="Times New Roman" w:cs="Times New Roman"/>
          <w:b/>
          <w:color w:val="000000"/>
        </w:rPr>
        <w:t xml:space="preserve">or Preventing </w:t>
      </w:r>
      <w:r>
        <w:rPr>
          <w:rFonts w:ascii="Times New Roman" w:eastAsia="Times New Roman" w:hAnsi="Times New Roman" w:cs="Times New Roman"/>
          <w:b/>
          <w:color w:val="000000"/>
        </w:rPr>
        <w:t>t</w:t>
      </w:r>
      <w:r w:rsidRPr="002059C4">
        <w:rPr>
          <w:rFonts w:ascii="Times New Roman" w:eastAsia="Times New Roman" w:hAnsi="Times New Roman" w:cs="Times New Roman"/>
          <w:b/>
          <w:color w:val="000000"/>
        </w:rPr>
        <w:t xml:space="preserve">he Malicious Activities </w:t>
      </w:r>
      <w:r>
        <w:rPr>
          <w:rFonts w:ascii="Times New Roman" w:eastAsia="Times New Roman" w:hAnsi="Times New Roman" w:cs="Times New Roman"/>
          <w:b/>
          <w:color w:val="000000"/>
        </w:rPr>
        <w:t>i</w:t>
      </w:r>
      <w:r w:rsidRPr="002059C4">
        <w:rPr>
          <w:rFonts w:ascii="Times New Roman" w:eastAsia="Times New Roman" w:hAnsi="Times New Roman" w:cs="Times New Roman"/>
          <w:b/>
          <w:color w:val="000000"/>
        </w:rPr>
        <w:t>n Mobile Ad</w:t>
      </w:r>
      <w:r>
        <w:rPr>
          <w:rFonts w:ascii="Times New Roman" w:eastAsia="Times New Roman" w:hAnsi="Times New Roman" w:cs="Times New Roman"/>
          <w:b/>
          <w:color w:val="000000"/>
        </w:rPr>
        <w:t>-</w:t>
      </w:r>
      <w:r w:rsidRPr="002059C4">
        <w:rPr>
          <w:rFonts w:ascii="Times New Roman" w:eastAsia="Times New Roman" w:hAnsi="Times New Roman" w:cs="Times New Roman"/>
          <w:b/>
          <w:color w:val="000000"/>
        </w:rPr>
        <w:t>Hoc Network</w:t>
      </w:r>
    </w:p>
    <w:p w14:paraId="7ED6CA7F" w14:textId="77777777" w:rsidR="00FA12B6" w:rsidRPr="002059C4" w:rsidRDefault="00FA12B6" w:rsidP="00FA12B6">
      <w:pPr>
        <w:spacing w:after="0" w:line="240" w:lineRule="auto"/>
        <w:jc w:val="both"/>
        <w:rPr>
          <w:rFonts w:ascii="Times New Roman" w:eastAsia="Times New Roman" w:hAnsi="Times New Roman" w:cs="Times New Roman"/>
          <w:b/>
          <w:color w:val="000000"/>
          <w:sz w:val="10"/>
        </w:rPr>
      </w:pPr>
    </w:p>
    <w:p w14:paraId="1123658C" w14:textId="77777777" w:rsidR="00FA12B6" w:rsidRPr="00FD4CFD" w:rsidRDefault="00FA12B6" w:rsidP="00FA12B6">
      <w:pPr>
        <w:spacing w:after="0" w:line="240" w:lineRule="auto"/>
        <w:rPr>
          <w:rFonts w:ascii="Times New Roman" w:eastAsia="Times New Roman" w:hAnsi="Times New Roman" w:cs="Times New Roman"/>
          <w:b/>
          <w:color w:val="000000"/>
          <w:sz w:val="16"/>
        </w:rPr>
      </w:pPr>
      <w:proofErr w:type="spellStart"/>
      <w:r w:rsidRPr="00FD4CFD">
        <w:rPr>
          <w:rFonts w:ascii="Times New Roman" w:eastAsia="Times New Roman" w:hAnsi="Times New Roman" w:cs="Times New Roman"/>
          <w:b/>
          <w:color w:val="000000"/>
          <w:sz w:val="16"/>
        </w:rPr>
        <w:t>Ramesh.Vatambeti</w:t>
      </w:r>
      <w:r w:rsidRPr="00FD4CFD">
        <w:rPr>
          <w:rFonts w:ascii="Times New Roman" w:eastAsia="Times New Roman" w:hAnsi="Times New Roman" w:cs="Times New Roman"/>
          <w:b/>
          <w:color w:val="000000"/>
          <w:sz w:val="16"/>
          <w:vertAlign w:val="superscript"/>
        </w:rPr>
        <w:t>a</w:t>
      </w:r>
      <w:proofErr w:type="spellEnd"/>
    </w:p>
    <w:p w14:paraId="15FB65A2" w14:textId="77777777" w:rsidR="00FA12B6" w:rsidRPr="002059C4" w:rsidRDefault="00FA12B6" w:rsidP="00FA12B6">
      <w:pPr>
        <w:spacing w:after="0" w:line="240" w:lineRule="auto"/>
        <w:rPr>
          <w:rFonts w:ascii="Times New Roman" w:eastAsia="Times New Roman" w:hAnsi="Times New Roman" w:cs="Times New Roman"/>
          <w:color w:val="000000"/>
          <w:sz w:val="16"/>
        </w:rPr>
      </w:pPr>
      <w:proofErr w:type="spellStart"/>
      <w:proofErr w:type="gramStart"/>
      <w:r w:rsidRPr="002059C4">
        <w:rPr>
          <w:rFonts w:ascii="Times New Roman" w:eastAsia="Times New Roman" w:hAnsi="Times New Roman" w:cs="Times New Roman"/>
          <w:color w:val="000000"/>
          <w:sz w:val="16"/>
          <w:vertAlign w:val="superscript"/>
        </w:rPr>
        <w:t>a.</w:t>
      </w:r>
      <w:r w:rsidRPr="002059C4">
        <w:rPr>
          <w:rFonts w:ascii="Times New Roman" w:eastAsia="Times New Roman" w:hAnsi="Times New Roman" w:cs="Times New Roman"/>
          <w:color w:val="000000"/>
          <w:sz w:val="16"/>
        </w:rPr>
        <w:t>Department</w:t>
      </w:r>
      <w:proofErr w:type="spellEnd"/>
      <w:proofErr w:type="gramEnd"/>
      <w:r w:rsidRPr="002059C4">
        <w:rPr>
          <w:rFonts w:ascii="Times New Roman" w:eastAsia="Times New Roman" w:hAnsi="Times New Roman" w:cs="Times New Roman"/>
          <w:color w:val="000000"/>
          <w:sz w:val="16"/>
        </w:rPr>
        <w:t xml:space="preserve"> of Computer Science and Engineering, School of Engineering, Presidency University, </w:t>
      </w:r>
    </w:p>
    <w:p w14:paraId="6876AD0C" w14:textId="77777777" w:rsidR="00FA12B6" w:rsidRPr="002059C4" w:rsidRDefault="00FA12B6" w:rsidP="00FA12B6">
      <w:pPr>
        <w:spacing w:after="0" w:line="240" w:lineRule="auto"/>
        <w:rPr>
          <w:rFonts w:ascii="Times New Roman" w:eastAsia="Times New Roman" w:hAnsi="Times New Roman" w:cs="Times New Roman"/>
          <w:color w:val="000000"/>
          <w:sz w:val="16"/>
        </w:rPr>
      </w:pPr>
      <w:r w:rsidRPr="002059C4">
        <w:rPr>
          <w:rFonts w:ascii="Times New Roman" w:eastAsia="Times New Roman" w:hAnsi="Times New Roman" w:cs="Times New Roman"/>
          <w:color w:val="000000"/>
          <w:sz w:val="16"/>
        </w:rPr>
        <w:t xml:space="preserve">  </w:t>
      </w:r>
      <w:proofErr w:type="spellStart"/>
      <w:r w:rsidRPr="002059C4">
        <w:rPr>
          <w:rFonts w:ascii="Times New Roman" w:eastAsia="Times New Roman" w:hAnsi="Times New Roman" w:cs="Times New Roman"/>
          <w:color w:val="000000"/>
          <w:sz w:val="16"/>
        </w:rPr>
        <w:t>Itgalpur</w:t>
      </w:r>
      <w:proofErr w:type="spellEnd"/>
      <w:r w:rsidRPr="002059C4">
        <w:rPr>
          <w:rFonts w:ascii="Times New Roman" w:eastAsia="Times New Roman" w:hAnsi="Times New Roman" w:cs="Times New Roman"/>
          <w:color w:val="000000"/>
          <w:sz w:val="16"/>
        </w:rPr>
        <w:t xml:space="preserve">, </w:t>
      </w:r>
      <w:proofErr w:type="spellStart"/>
      <w:r w:rsidRPr="002059C4">
        <w:rPr>
          <w:rFonts w:ascii="Times New Roman" w:eastAsia="Times New Roman" w:hAnsi="Times New Roman" w:cs="Times New Roman"/>
          <w:color w:val="000000"/>
          <w:sz w:val="16"/>
        </w:rPr>
        <w:t>Rajanakunte</w:t>
      </w:r>
      <w:proofErr w:type="spellEnd"/>
      <w:r w:rsidRPr="002059C4">
        <w:rPr>
          <w:rFonts w:ascii="Times New Roman" w:eastAsia="Times New Roman" w:hAnsi="Times New Roman" w:cs="Times New Roman"/>
          <w:color w:val="000000"/>
          <w:sz w:val="16"/>
        </w:rPr>
        <w:t>, Yelahanka, Bangalore, 560064, India</w:t>
      </w:r>
    </w:p>
    <w:p w14:paraId="2BD9A437" w14:textId="77777777" w:rsidR="00FA12B6" w:rsidRPr="00892AA3" w:rsidRDefault="00FA12B6" w:rsidP="00FA12B6">
      <w:pPr>
        <w:jc w:val="center"/>
        <w:rPr>
          <w:rFonts w:ascii="Times New Roman" w:hAnsi="Times New Roman" w:cs="Times New Roman"/>
          <w:b/>
          <w:sz w:val="28"/>
        </w:rPr>
      </w:pPr>
      <w:r w:rsidRPr="002059C4">
        <w:rPr>
          <w:rFonts w:ascii="Times New Roman" w:hAnsi="Times New Roman" w:cs="Times New Roman"/>
          <w:b/>
        </w:rPr>
        <w:t>Abstract</w:t>
      </w:r>
    </w:p>
    <w:p w14:paraId="577D9950" w14:textId="77777777" w:rsidR="00FA12B6" w:rsidRPr="00892AA3" w:rsidRDefault="00FA12B6" w:rsidP="00FA12B6">
      <w:pPr>
        <w:shd w:val="clear" w:color="auto" w:fill="FFFFFF"/>
        <w:spacing w:after="0" w:line="240" w:lineRule="auto"/>
        <w:rPr>
          <w:rFonts w:ascii="Times New Roman" w:eastAsia="Times New Roman" w:hAnsi="Times New Roman" w:cs="Times New Roman"/>
          <w:color w:val="FF0000"/>
          <w:sz w:val="6"/>
        </w:rPr>
      </w:pPr>
    </w:p>
    <w:p w14:paraId="086F68E8" w14:textId="77777777" w:rsidR="00FA12B6" w:rsidRPr="00892AA3" w:rsidRDefault="00FA12B6" w:rsidP="00FA12B6">
      <w:pPr>
        <w:jc w:val="both"/>
        <w:rPr>
          <w:rFonts w:ascii="Times New Roman" w:hAnsi="Times New Roman" w:cs="Times New Roman"/>
        </w:rPr>
      </w:pPr>
      <w:r w:rsidRPr="002059C4">
        <w:rPr>
          <w:rFonts w:ascii="Times New Roman" w:hAnsi="Times New Roman" w:cs="Times New Roman"/>
          <w:sz w:val="20"/>
        </w:rPr>
        <w:t xml:space="preserve">Mobile Ad hoc Network is self-organized and movable in nature, it is widely used in various applications including military and private sectors. However, security is one of the key concerns in routing because of the moving nodes; </w:t>
      </w:r>
      <w:proofErr w:type="gramStart"/>
      <w:r w:rsidRPr="002059C4">
        <w:rPr>
          <w:rFonts w:ascii="Times New Roman" w:hAnsi="Times New Roman" w:cs="Times New Roman"/>
          <w:sz w:val="20"/>
        </w:rPr>
        <w:t>thus</w:t>
      </w:r>
      <w:proofErr w:type="gramEnd"/>
      <w:r w:rsidRPr="002059C4">
        <w:rPr>
          <w:rFonts w:ascii="Times New Roman" w:hAnsi="Times New Roman" w:cs="Times New Roman"/>
          <w:sz w:val="20"/>
        </w:rPr>
        <w:t xml:space="preserve"> it is usually affected by Black Hole and Grey Hole attack. These types of malicious activities are more harmful to the network channel, and once the attack is happened it is difficult to predict and mitigate. To end this problem the current research proposed a novel Grey Wolf Trust Accumulation (GWTA) Schema in wireless mesh network architecture, thus the attacks are identified by the finest function of the GWTA model. Moreover, the predicted attacked nodes are replaced to the last position of the network medium to prevent the packet loss. Furthermore, the comparison studies proved the effectiveness of the proposed model by attaining less packet drop and high throughput ratio rate.</w:t>
      </w:r>
    </w:p>
    <w:p w14:paraId="351853C4" w14:textId="77777777" w:rsidR="00FA12B6" w:rsidRPr="002059C4" w:rsidRDefault="00FA12B6" w:rsidP="00FA12B6">
      <w:pPr>
        <w:spacing w:after="0"/>
        <w:rPr>
          <w:rFonts w:ascii="Times New Roman" w:hAnsi="Times New Roman" w:cs="Times New Roman"/>
          <w:b/>
        </w:rPr>
      </w:pPr>
      <w:r>
        <w:rPr>
          <w:rFonts w:ascii="Times New Roman" w:hAnsi="Times New Roman" w:cs="Times New Roman"/>
          <w:b/>
        </w:rPr>
        <w:t>Keywords:</w:t>
      </w:r>
    </w:p>
    <w:p w14:paraId="0152449F" w14:textId="77777777" w:rsidR="00FA12B6" w:rsidRPr="002059C4" w:rsidRDefault="00FA12B6" w:rsidP="00FA12B6">
      <w:pPr>
        <w:spacing w:after="0"/>
        <w:rPr>
          <w:rFonts w:ascii="Times New Roman" w:eastAsia="Times New Roman" w:hAnsi="Times New Roman" w:cs="Times New Roman"/>
          <w:b/>
          <w:bCs/>
          <w:color w:val="333333"/>
          <w:sz w:val="16"/>
          <w:szCs w:val="24"/>
        </w:rPr>
      </w:pPr>
      <w:r w:rsidRPr="002059C4">
        <w:rPr>
          <w:rFonts w:ascii="Times New Roman" w:hAnsi="Times New Roman" w:cs="Times New Roman"/>
          <w:sz w:val="20"/>
        </w:rPr>
        <w:t xml:space="preserve">Mobile ad-hoc network, Black hole attack, </w:t>
      </w:r>
      <w:proofErr w:type="gramStart"/>
      <w:r w:rsidRPr="002059C4">
        <w:rPr>
          <w:rFonts w:ascii="Times New Roman" w:hAnsi="Times New Roman" w:cs="Times New Roman"/>
          <w:sz w:val="20"/>
        </w:rPr>
        <w:t>Grey</w:t>
      </w:r>
      <w:proofErr w:type="gramEnd"/>
      <w:r w:rsidRPr="002059C4">
        <w:rPr>
          <w:rFonts w:ascii="Times New Roman" w:hAnsi="Times New Roman" w:cs="Times New Roman"/>
          <w:sz w:val="20"/>
        </w:rPr>
        <w:t xml:space="preserve"> hole attack, Wireless mesh network, Secure routing</w:t>
      </w:r>
    </w:p>
    <w:p w14:paraId="4C1F4700" w14:textId="77777777" w:rsidR="00FA12B6" w:rsidRPr="002059C4" w:rsidRDefault="00FA12B6" w:rsidP="00FA12B6">
      <w:pPr>
        <w:spacing w:after="0"/>
        <w:rPr>
          <w:rFonts w:ascii="Times New Roman" w:hAnsi="Times New Roman" w:cs="Times New Roman"/>
          <w:b/>
        </w:rPr>
      </w:pPr>
      <w:r>
        <w:rPr>
          <w:rFonts w:ascii="Times New Roman" w:hAnsi="Times New Roman" w:cs="Times New Roman"/>
          <w:b/>
        </w:rPr>
        <w:t>Publication Details:</w:t>
      </w:r>
    </w:p>
    <w:tbl>
      <w:tblPr>
        <w:tblW w:w="9990" w:type="dxa"/>
        <w:tblLayout w:type="fixed"/>
        <w:tblLook w:val="04A0" w:firstRow="1" w:lastRow="0" w:firstColumn="1" w:lastColumn="0" w:noHBand="0" w:noVBand="1"/>
      </w:tblPr>
      <w:tblGrid>
        <w:gridCol w:w="2700"/>
        <w:gridCol w:w="810"/>
        <w:gridCol w:w="1710"/>
        <w:gridCol w:w="1260"/>
        <w:gridCol w:w="1710"/>
        <w:gridCol w:w="1800"/>
      </w:tblGrid>
      <w:tr w:rsidR="00FA12B6" w:rsidRPr="00892AA3" w14:paraId="5B494FE9" w14:textId="77777777" w:rsidTr="00673108">
        <w:trPr>
          <w:trHeight w:val="333"/>
        </w:trPr>
        <w:tc>
          <w:tcPr>
            <w:tcW w:w="2700" w:type="dxa"/>
            <w:noWrap/>
            <w:hideMark/>
          </w:tcPr>
          <w:p w14:paraId="66F3B087" w14:textId="77777777" w:rsidR="00FA12B6" w:rsidRPr="002059C4" w:rsidRDefault="00FA12B6" w:rsidP="00673108">
            <w:pPr>
              <w:spacing w:after="0"/>
              <w:jc w:val="center"/>
              <w:rPr>
                <w:rFonts w:ascii="Times New Roman" w:hAnsi="Times New Roman" w:cs="Times New Roman"/>
                <w:b/>
                <w:sz w:val="20"/>
              </w:rPr>
            </w:pPr>
            <w:r w:rsidRPr="002059C4">
              <w:rPr>
                <w:rFonts w:ascii="Times New Roman" w:hAnsi="Times New Roman" w:cs="Times New Roman"/>
                <w:b/>
                <w:sz w:val="20"/>
              </w:rPr>
              <w:t>Journal Name</w:t>
            </w:r>
          </w:p>
        </w:tc>
        <w:tc>
          <w:tcPr>
            <w:tcW w:w="810" w:type="dxa"/>
            <w:noWrap/>
            <w:hideMark/>
          </w:tcPr>
          <w:p w14:paraId="2DC81511" w14:textId="77777777" w:rsidR="00FA12B6" w:rsidRPr="002059C4" w:rsidRDefault="00FA12B6" w:rsidP="00673108">
            <w:pPr>
              <w:spacing w:after="0"/>
              <w:jc w:val="center"/>
              <w:rPr>
                <w:rFonts w:ascii="Times New Roman" w:hAnsi="Times New Roman" w:cs="Times New Roman"/>
                <w:b/>
                <w:sz w:val="20"/>
              </w:rPr>
            </w:pPr>
            <w:r w:rsidRPr="002059C4">
              <w:rPr>
                <w:rFonts w:ascii="Times New Roman" w:hAnsi="Times New Roman" w:cs="Times New Roman"/>
                <w:b/>
                <w:sz w:val="20"/>
              </w:rPr>
              <w:t>Vol.</w:t>
            </w:r>
          </w:p>
        </w:tc>
        <w:tc>
          <w:tcPr>
            <w:tcW w:w="1710" w:type="dxa"/>
            <w:hideMark/>
          </w:tcPr>
          <w:p w14:paraId="6FDD07D6" w14:textId="77777777" w:rsidR="00FA12B6" w:rsidRPr="002059C4" w:rsidRDefault="00FA12B6" w:rsidP="00673108">
            <w:pPr>
              <w:spacing w:after="0"/>
              <w:jc w:val="center"/>
              <w:rPr>
                <w:rFonts w:ascii="Times New Roman" w:hAnsi="Times New Roman" w:cs="Times New Roman"/>
                <w:b/>
                <w:sz w:val="20"/>
              </w:rPr>
            </w:pPr>
            <w:r w:rsidRPr="002059C4">
              <w:rPr>
                <w:rFonts w:ascii="Times New Roman" w:hAnsi="Times New Roman" w:cs="Times New Roman"/>
                <w:b/>
                <w:sz w:val="20"/>
              </w:rPr>
              <w:t xml:space="preserve">Month </w:t>
            </w:r>
            <w:proofErr w:type="gramStart"/>
            <w:r w:rsidRPr="002059C4">
              <w:rPr>
                <w:rFonts w:ascii="Times New Roman" w:hAnsi="Times New Roman" w:cs="Times New Roman"/>
                <w:b/>
                <w:sz w:val="20"/>
              </w:rPr>
              <w:t>&amp;  Year</w:t>
            </w:r>
            <w:proofErr w:type="gramEnd"/>
            <w:r w:rsidRPr="002059C4">
              <w:rPr>
                <w:rFonts w:ascii="Times New Roman" w:hAnsi="Times New Roman" w:cs="Times New Roman"/>
                <w:b/>
                <w:sz w:val="20"/>
              </w:rPr>
              <w:t xml:space="preserve"> </w:t>
            </w:r>
          </w:p>
        </w:tc>
        <w:tc>
          <w:tcPr>
            <w:tcW w:w="1260" w:type="dxa"/>
            <w:noWrap/>
            <w:hideMark/>
          </w:tcPr>
          <w:p w14:paraId="0D8294B5" w14:textId="77777777" w:rsidR="00FA12B6" w:rsidRPr="002059C4" w:rsidRDefault="00FA12B6" w:rsidP="00673108">
            <w:pPr>
              <w:spacing w:after="0"/>
              <w:jc w:val="center"/>
              <w:rPr>
                <w:rFonts w:ascii="Times New Roman" w:hAnsi="Times New Roman" w:cs="Times New Roman"/>
                <w:b/>
                <w:sz w:val="20"/>
              </w:rPr>
            </w:pPr>
            <w:r w:rsidRPr="002059C4">
              <w:rPr>
                <w:rFonts w:ascii="Times New Roman" w:hAnsi="Times New Roman" w:cs="Times New Roman"/>
                <w:b/>
                <w:sz w:val="20"/>
              </w:rPr>
              <w:t>Page No.</w:t>
            </w:r>
          </w:p>
        </w:tc>
        <w:tc>
          <w:tcPr>
            <w:tcW w:w="1710" w:type="dxa"/>
            <w:noWrap/>
            <w:hideMark/>
          </w:tcPr>
          <w:p w14:paraId="658F8FE2" w14:textId="77777777" w:rsidR="00FA12B6" w:rsidRPr="002059C4" w:rsidRDefault="00FA12B6" w:rsidP="00673108">
            <w:pPr>
              <w:spacing w:after="0"/>
              <w:jc w:val="center"/>
              <w:rPr>
                <w:rFonts w:ascii="Times New Roman" w:hAnsi="Times New Roman" w:cs="Times New Roman"/>
                <w:b/>
                <w:sz w:val="20"/>
              </w:rPr>
            </w:pPr>
            <w:r w:rsidRPr="002059C4">
              <w:rPr>
                <w:rFonts w:ascii="Times New Roman" w:hAnsi="Times New Roman" w:cs="Times New Roman"/>
                <w:b/>
                <w:sz w:val="20"/>
              </w:rPr>
              <w:t>Publisher</w:t>
            </w:r>
          </w:p>
        </w:tc>
        <w:tc>
          <w:tcPr>
            <w:tcW w:w="1800" w:type="dxa"/>
            <w:noWrap/>
            <w:hideMark/>
          </w:tcPr>
          <w:p w14:paraId="4F8FD0C7" w14:textId="77777777" w:rsidR="00FA12B6" w:rsidRPr="002059C4" w:rsidRDefault="00FA12B6" w:rsidP="00673108">
            <w:pPr>
              <w:spacing w:after="0"/>
              <w:jc w:val="center"/>
              <w:rPr>
                <w:rFonts w:ascii="Times New Roman" w:hAnsi="Times New Roman" w:cs="Times New Roman"/>
                <w:b/>
                <w:sz w:val="20"/>
              </w:rPr>
            </w:pPr>
            <w:proofErr w:type="spellStart"/>
            <w:r w:rsidRPr="002059C4">
              <w:rPr>
                <w:rFonts w:ascii="Times New Roman" w:hAnsi="Times New Roman" w:cs="Times New Roman"/>
                <w:b/>
                <w:sz w:val="20"/>
              </w:rPr>
              <w:t>Scimago</w:t>
            </w:r>
            <w:proofErr w:type="spellEnd"/>
            <w:r w:rsidRPr="002059C4">
              <w:rPr>
                <w:rFonts w:ascii="Times New Roman" w:hAnsi="Times New Roman" w:cs="Times New Roman"/>
                <w:b/>
                <w:sz w:val="20"/>
              </w:rPr>
              <w:t xml:space="preserve"> Ranking</w:t>
            </w:r>
          </w:p>
        </w:tc>
      </w:tr>
      <w:tr w:rsidR="00FA12B6" w:rsidRPr="00892AA3" w14:paraId="4775406F" w14:textId="77777777" w:rsidTr="00673108">
        <w:trPr>
          <w:trHeight w:val="360"/>
        </w:trPr>
        <w:tc>
          <w:tcPr>
            <w:tcW w:w="2700" w:type="dxa"/>
            <w:noWrap/>
            <w:hideMark/>
          </w:tcPr>
          <w:p w14:paraId="268B93E2" w14:textId="77777777" w:rsidR="00FA12B6" w:rsidRPr="002059C4" w:rsidRDefault="00FA12B6" w:rsidP="00673108">
            <w:pPr>
              <w:spacing w:after="0" w:line="240" w:lineRule="auto"/>
              <w:jc w:val="center"/>
              <w:rPr>
                <w:rFonts w:ascii="Times New Roman" w:hAnsi="Times New Roman" w:cs="Times New Roman"/>
                <w:sz w:val="20"/>
              </w:rPr>
            </w:pPr>
            <w:r w:rsidRPr="002059C4">
              <w:rPr>
                <w:rFonts w:ascii="Times New Roman" w:hAnsi="Times New Roman" w:cs="Times New Roman"/>
                <w:color w:val="000000"/>
                <w:sz w:val="20"/>
              </w:rPr>
              <w:t>Wireless P</w:t>
            </w:r>
            <w:r>
              <w:rPr>
                <w:rFonts w:ascii="Times New Roman" w:hAnsi="Times New Roman" w:cs="Times New Roman"/>
                <w:color w:val="000000"/>
                <w:sz w:val="20"/>
              </w:rPr>
              <w:t>ersonal Communications</w:t>
            </w:r>
          </w:p>
        </w:tc>
        <w:tc>
          <w:tcPr>
            <w:tcW w:w="810" w:type="dxa"/>
            <w:noWrap/>
          </w:tcPr>
          <w:p w14:paraId="53B510B4" w14:textId="77777777" w:rsidR="00FA12B6" w:rsidRPr="002059C4" w:rsidRDefault="00FA12B6" w:rsidP="00673108">
            <w:pPr>
              <w:spacing w:after="0"/>
              <w:jc w:val="center"/>
              <w:rPr>
                <w:rFonts w:ascii="Times New Roman" w:hAnsi="Times New Roman" w:cs="Times New Roman"/>
                <w:sz w:val="20"/>
              </w:rPr>
            </w:pPr>
            <w:r w:rsidRPr="002059C4">
              <w:rPr>
                <w:rFonts w:ascii="Times New Roman" w:hAnsi="Times New Roman" w:cs="Times New Roman"/>
                <w:sz w:val="20"/>
              </w:rPr>
              <w:t>111(4)</w:t>
            </w:r>
          </w:p>
        </w:tc>
        <w:tc>
          <w:tcPr>
            <w:tcW w:w="1710" w:type="dxa"/>
          </w:tcPr>
          <w:p w14:paraId="644EADCB" w14:textId="77777777" w:rsidR="00FA12B6" w:rsidRPr="002059C4" w:rsidRDefault="00FA12B6" w:rsidP="00673108">
            <w:pPr>
              <w:spacing w:after="0" w:line="240" w:lineRule="auto"/>
              <w:jc w:val="center"/>
              <w:rPr>
                <w:rFonts w:ascii="Times New Roman" w:hAnsi="Times New Roman" w:cs="Times New Roman"/>
                <w:color w:val="000000"/>
                <w:sz w:val="20"/>
              </w:rPr>
            </w:pPr>
            <w:r w:rsidRPr="002059C4">
              <w:rPr>
                <w:rFonts w:ascii="Times New Roman" w:hAnsi="Times New Roman" w:cs="Times New Roman"/>
                <w:color w:val="000000"/>
                <w:sz w:val="20"/>
              </w:rPr>
              <w:t>April, 2020</w:t>
            </w:r>
          </w:p>
          <w:p w14:paraId="396E2DDF" w14:textId="77777777" w:rsidR="00FA12B6" w:rsidRPr="002059C4" w:rsidRDefault="00FA12B6" w:rsidP="00673108">
            <w:pPr>
              <w:spacing w:after="0"/>
              <w:jc w:val="center"/>
              <w:rPr>
                <w:rFonts w:ascii="Times New Roman" w:hAnsi="Times New Roman" w:cs="Times New Roman"/>
                <w:sz w:val="20"/>
              </w:rPr>
            </w:pPr>
          </w:p>
        </w:tc>
        <w:tc>
          <w:tcPr>
            <w:tcW w:w="1260" w:type="dxa"/>
            <w:noWrap/>
          </w:tcPr>
          <w:p w14:paraId="52E297C8" w14:textId="77777777" w:rsidR="00FA12B6" w:rsidRPr="002059C4" w:rsidRDefault="00FA12B6" w:rsidP="00673108">
            <w:pPr>
              <w:spacing w:after="0"/>
              <w:jc w:val="center"/>
              <w:rPr>
                <w:rFonts w:ascii="Times New Roman" w:hAnsi="Times New Roman" w:cs="Times New Roman"/>
                <w:sz w:val="20"/>
              </w:rPr>
            </w:pPr>
            <w:r w:rsidRPr="002059C4">
              <w:rPr>
                <w:rFonts w:ascii="Times New Roman" w:hAnsi="Times New Roman" w:cs="Times New Roman"/>
                <w:sz w:val="20"/>
              </w:rPr>
              <w:t>Online publication</w:t>
            </w:r>
          </w:p>
        </w:tc>
        <w:tc>
          <w:tcPr>
            <w:tcW w:w="1710" w:type="dxa"/>
            <w:noWrap/>
          </w:tcPr>
          <w:p w14:paraId="59E5B057" w14:textId="77777777" w:rsidR="00FA12B6" w:rsidRPr="002059C4" w:rsidRDefault="00FA12B6" w:rsidP="00673108">
            <w:pPr>
              <w:spacing w:after="0"/>
              <w:jc w:val="center"/>
              <w:rPr>
                <w:rFonts w:ascii="Times New Roman" w:hAnsi="Times New Roman" w:cs="Times New Roman"/>
                <w:color w:val="000000"/>
                <w:sz w:val="20"/>
              </w:rPr>
            </w:pPr>
            <w:hyperlink r:id="rId4" w:tooltip="view all publisher's journals" w:history="1">
              <w:r w:rsidRPr="002059C4">
                <w:rPr>
                  <w:rFonts w:ascii="Times New Roman" w:hAnsi="Times New Roman" w:cs="Times New Roman"/>
                  <w:color w:val="000000"/>
                  <w:sz w:val="20"/>
                </w:rPr>
                <w:t>Springer Netherlands</w:t>
              </w:r>
            </w:hyperlink>
          </w:p>
        </w:tc>
        <w:tc>
          <w:tcPr>
            <w:tcW w:w="1800" w:type="dxa"/>
            <w:noWrap/>
          </w:tcPr>
          <w:p w14:paraId="5BAAEDE5" w14:textId="77777777" w:rsidR="00FA12B6" w:rsidRPr="002059C4" w:rsidRDefault="00FA12B6" w:rsidP="00673108">
            <w:pPr>
              <w:spacing w:after="0"/>
              <w:jc w:val="center"/>
              <w:rPr>
                <w:rFonts w:ascii="Times New Roman" w:hAnsi="Times New Roman" w:cs="Times New Roman"/>
                <w:sz w:val="20"/>
              </w:rPr>
            </w:pPr>
            <w:r w:rsidRPr="002059C4">
              <w:rPr>
                <w:rFonts w:ascii="Times New Roman" w:hAnsi="Times New Roman" w:cs="Times New Roman"/>
                <w:sz w:val="20"/>
              </w:rPr>
              <w:t>Q3</w:t>
            </w:r>
          </w:p>
        </w:tc>
      </w:tr>
    </w:tbl>
    <w:p w14:paraId="0534E5D7" w14:textId="77777777" w:rsidR="00C82B31" w:rsidRDefault="00C82B31"/>
    <w:sectPr w:rsidR="00C82B31" w:rsidSect="00866CE2">
      <w:type w:val="continuous"/>
      <w:pgSz w:w="11920" w:h="16860"/>
      <w:pgMar w:top="840" w:right="1338" w:bottom="278" w:left="1338"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A12B6"/>
    <w:rsid w:val="00866CE2"/>
    <w:rsid w:val="00C82B31"/>
    <w:rsid w:val="00FA12B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ECB05"/>
  <w15:chartTrackingRefBased/>
  <w15:docId w15:val="{9DAF0FF1-9634-4A50-BC6D-E09E81655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2B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cimagojr.com/journalsearch.php?q=Springer%20Netherlands&amp;tip=p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1424</Characters>
  <Application>Microsoft Office Word</Application>
  <DocSecurity>0</DocSecurity>
  <Lines>11</Lines>
  <Paragraphs>3</Paragraphs>
  <ScaleCrop>false</ScaleCrop>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Ashoka Ashoka</dc:creator>
  <cp:keywords/>
  <dc:description/>
  <cp:lastModifiedBy>Ashoka Ashoka</cp:lastModifiedBy>
  <cp:revision>1</cp:revision>
  <dcterms:created xsi:type="dcterms:W3CDTF">2022-05-18T10:16:00Z</dcterms:created>
  <dcterms:modified xsi:type="dcterms:W3CDTF">2022-05-18T10:16:00Z</dcterms:modified>
</cp:coreProperties>
</file>