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3972" w14:textId="77777777" w:rsidR="00AB6F22" w:rsidRPr="00F75FB8" w:rsidRDefault="00AB6F22" w:rsidP="00AB6F22">
      <w:pPr>
        <w:spacing w:after="0" w:line="252" w:lineRule="auto"/>
        <w:rPr>
          <w:rFonts w:ascii="Times New Roman" w:hAnsi="Times New Roman" w:cs="Times New Roman"/>
          <w:b/>
        </w:rPr>
      </w:pPr>
      <w:r w:rsidRPr="00F75FB8">
        <w:rPr>
          <w:rFonts w:ascii="Times New Roman" w:hAnsi="Times New Roman" w:cs="Times New Roman"/>
          <w:b/>
        </w:rPr>
        <w:t xml:space="preserve">Paper No: PU-SOE- </w:t>
      </w:r>
      <w:r w:rsidRPr="000407E6">
        <w:rPr>
          <w:rFonts w:ascii="Times New Roman" w:hAnsi="Times New Roman" w:cs="Times New Roman"/>
          <w:b/>
        </w:rPr>
        <w:t>CIVIL - 07</w:t>
      </w:r>
    </w:p>
    <w:p w14:paraId="75759C4F" w14:textId="77777777" w:rsidR="00AB6F22" w:rsidRPr="00AA3361" w:rsidRDefault="00AB6F22" w:rsidP="00AB6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3BFA70FF" w14:textId="77777777" w:rsidR="00AB6F22" w:rsidRPr="00F24479" w:rsidRDefault="00AB6F22" w:rsidP="00AB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"/>
        </w:rPr>
      </w:pPr>
    </w:p>
    <w:p w14:paraId="11CDA880" w14:textId="77777777" w:rsidR="00AB6F22" w:rsidRPr="001E7DE4" w:rsidRDefault="00AB6F22" w:rsidP="00AB6F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E7DE4">
        <w:rPr>
          <w:rFonts w:ascii="Times New Roman" w:eastAsia="Times New Roman" w:hAnsi="Times New Roman" w:cs="Times New Roman"/>
          <w:b/>
          <w:color w:val="000000"/>
        </w:rPr>
        <w:t xml:space="preserve">Groundwater hydrochemistry of </w:t>
      </w:r>
      <w:proofErr w:type="spellStart"/>
      <w:r w:rsidRPr="001E7DE4">
        <w:rPr>
          <w:rFonts w:ascii="Times New Roman" w:eastAsia="Times New Roman" w:hAnsi="Times New Roman" w:cs="Times New Roman"/>
          <w:b/>
          <w:color w:val="000000"/>
        </w:rPr>
        <w:t>Rajnandgaon</w:t>
      </w:r>
      <w:proofErr w:type="spellEnd"/>
      <w:r w:rsidRPr="001E7DE4">
        <w:rPr>
          <w:rFonts w:ascii="Times New Roman" w:eastAsia="Times New Roman" w:hAnsi="Times New Roman" w:cs="Times New Roman"/>
          <w:b/>
          <w:color w:val="000000"/>
        </w:rPr>
        <w:t xml:space="preserve"> district, Chhattisgarh, Central India</w:t>
      </w:r>
    </w:p>
    <w:p w14:paraId="19C60361" w14:textId="77777777" w:rsidR="00AB6F22" w:rsidRPr="00F75FB8" w:rsidRDefault="00AB6F22" w:rsidP="00AB6F22">
      <w:pPr>
        <w:spacing w:line="240" w:lineRule="auto"/>
        <w:rPr>
          <w:rFonts w:ascii="Times New Roman" w:hAnsi="Times New Roman" w:cs="Times New Roman"/>
          <w:color w:val="464646"/>
          <w:sz w:val="2"/>
          <w:szCs w:val="21"/>
          <w:shd w:val="clear" w:color="auto" w:fill="FFFFFF"/>
        </w:rPr>
      </w:pPr>
    </w:p>
    <w:bookmarkStart w:id="0" w:name="bau7"/>
    <w:p w14:paraId="5C7C61A6" w14:textId="77777777" w:rsidR="00AB6F22" w:rsidRPr="000407E6" w:rsidRDefault="00AB6F22" w:rsidP="00AB6F22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</w:pPr>
      <w:r w:rsidRPr="000407E6">
        <w:rPr>
          <w:rFonts w:ascii="Times New Roman" w:hAnsi="Times New Roman" w:cs="Times New Roman"/>
          <w:sz w:val="16"/>
          <w:szCs w:val="16"/>
        </w:rPr>
        <w:fldChar w:fldCharType="begin"/>
      </w:r>
      <w:r w:rsidRPr="000407E6">
        <w:rPr>
          <w:rFonts w:ascii="Times New Roman" w:hAnsi="Times New Roman" w:cs="Times New Roman"/>
          <w:sz w:val="16"/>
          <w:szCs w:val="16"/>
        </w:rPr>
        <w:instrText xml:space="preserve"> HYPERLINK "https://www.sciencedirect.com/science/article/abs/pii/S2352801X20300138?via%3Dihub" \l "!" </w:instrText>
      </w:r>
      <w:r w:rsidRPr="000407E6">
        <w:rPr>
          <w:rFonts w:ascii="Times New Roman" w:hAnsi="Times New Roman" w:cs="Times New Roman"/>
          <w:sz w:val="16"/>
          <w:szCs w:val="16"/>
        </w:rPr>
        <w:fldChar w:fldCharType="separate"/>
      </w:r>
      <w:r w:rsidRPr="000407E6">
        <w:rPr>
          <w:rStyle w:val="text"/>
          <w:rFonts w:ascii="Times New Roman" w:hAnsi="Times New Roman" w:cs="Times New Roman"/>
          <w:sz w:val="16"/>
          <w:szCs w:val="16"/>
        </w:rPr>
        <w:t xml:space="preserve">Mohammad Shahid </w:t>
      </w:r>
      <w:proofErr w:type="spellStart"/>
      <w:r w:rsidRPr="000407E6">
        <w:rPr>
          <w:rStyle w:val="text"/>
          <w:rFonts w:ascii="Times New Roman" w:hAnsi="Times New Roman" w:cs="Times New Roman"/>
          <w:sz w:val="16"/>
          <w:szCs w:val="16"/>
        </w:rPr>
        <w:t>Gulgundi</w:t>
      </w:r>
      <w:proofErr w:type="spellEnd"/>
      <w:r w:rsidRPr="000407E6">
        <w:rPr>
          <w:rFonts w:ascii="Times New Roman" w:hAnsi="Times New Roman" w:cs="Times New Roman"/>
          <w:sz w:val="16"/>
          <w:szCs w:val="16"/>
        </w:rPr>
        <w:fldChar w:fldCharType="end"/>
      </w:r>
      <w:bookmarkEnd w:id="0"/>
      <w:r w:rsidRPr="000407E6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 xml:space="preserve"> </w:t>
      </w:r>
    </w:p>
    <w:p w14:paraId="2ABB0D19" w14:textId="77777777" w:rsidR="00AB6F22" w:rsidRPr="000407E6" w:rsidRDefault="00AB6F22" w:rsidP="00AB6F22">
      <w:pPr>
        <w:tabs>
          <w:tab w:val="left" w:pos="28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407E6">
        <w:rPr>
          <w:rFonts w:ascii="Times New Roman" w:eastAsia="Times New Roman" w:hAnsi="Times New Roman" w:cs="Times New Roman"/>
          <w:color w:val="000000"/>
          <w:sz w:val="16"/>
          <w:szCs w:val="16"/>
        </w:rPr>
        <w:t>Department of Civil Engineering, Presidency University, Bangalore, 560064, India</w:t>
      </w:r>
    </w:p>
    <w:p w14:paraId="64F25238" w14:textId="77777777" w:rsidR="00AB6F22" w:rsidRPr="000407E6" w:rsidRDefault="00AB6F22" w:rsidP="00AB6F22">
      <w:p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3F491BE4" w14:textId="77777777" w:rsidR="00AB6F22" w:rsidRDefault="00AB6F22" w:rsidP="00AB6F22">
      <w:p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FB8">
        <w:rPr>
          <w:rFonts w:ascii="Times New Roman" w:hAnsi="Times New Roman" w:cs="Times New Roman"/>
          <w:b/>
        </w:rPr>
        <w:t>Abstract</w:t>
      </w:r>
    </w:p>
    <w:p w14:paraId="72BFC2BB" w14:textId="77777777" w:rsidR="00AB6F22" w:rsidRPr="000407E6" w:rsidRDefault="00AB6F22" w:rsidP="00AB6F22">
      <w:p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14:paraId="419E7605" w14:textId="77777777" w:rsidR="00AB6F22" w:rsidRPr="00FF4DF7" w:rsidRDefault="00AB6F22" w:rsidP="00AB6F22">
      <w:p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772281D8" w14:textId="77777777" w:rsidR="00AB6F22" w:rsidRPr="00126EF0" w:rsidRDefault="00AB6F22" w:rsidP="00AB6F22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01DC281E" w14:textId="77777777" w:rsidR="00AB6F22" w:rsidRPr="001E7DE4" w:rsidRDefault="00AB6F22" w:rsidP="00AB6F2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</w:pP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>The spreading of fluorosis diseases in Central India related to high concentrations of fluoride ion (F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vertAlign w:val="superscript"/>
          <w:lang w:val="en"/>
        </w:rPr>
        <w:t>−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 xml:space="preserve">) is a cause of major concern. In this work, the hydrochemistry of the aquifers related to </w:t>
      </w:r>
      <w:proofErr w:type="spellStart"/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>Seonath</w:t>
      </w:r>
      <w:proofErr w:type="spellEnd"/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 xml:space="preserve"> River, in </w:t>
      </w:r>
      <w:proofErr w:type="spellStart"/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>Rajnandgaon</w:t>
      </w:r>
      <w:proofErr w:type="spellEnd"/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 xml:space="preserve"> district, Chhattisgarh state, India, has been studied, focusing on the presence and sources of F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vertAlign w:val="superscript"/>
          <w:lang w:val="en"/>
        </w:rPr>
        <w:t>−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 xml:space="preserve">. </w:t>
      </w:r>
      <w:proofErr w:type="spellStart"/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>Hydrochemical</w:t>
      </w:r>
      <w:proofErr w:type="spellEnd"/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 xml:space="preserve"> parameters were analyzed in the post-monsoon season in 160 wells located in nine tehsils, finding F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vertAlign w:val="superscript"/>
          <w:lang w:val="en"/>
        </w:rPr>
        <w:t>−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> concentrations ranging from 0.6 to 18.5 mg L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vertAlign w:val="superscript"/>
          <w:lang w:val="en"/>
        </w:rPr>
        <w:t>−1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 xml:space="preserve">. Seasonal variations were also studied in </w:t>
      </w:r>
      <w:proofErr w:type="spellStart"/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>Chhuikhadan</w:t>
      </w:r>
      <w:proofErr w:type="spellEnd"/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 xml:space="preserve"> tehsil, in which the highest F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vertAlign w:val="superscript"/>
          <w:lang w:val="en"/>
        </w:rPr>
        <w:t>−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> values were registered, finding a noticeable enrichment in the pre-monsoon months. In many locations of the district, F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vertAlign w:val="superscript"/>
          <w:lang w:val="en"/>
        </w:rPr>
        <w:t>−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> concentrations exceeded the recommended value of 1.5 mg L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vertAlign w:val="superscript"/>
          <w:lang w:val="en"/>
        </w:rPr>
        <w:t>−1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>, which have led to the appearance of several health issues. Multidimensional analysis statistical methods were adopted to investigate the sources of F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vertAlign w:val="superscript"/>
          <w:lang w:val="en"/>
        </w:rPr>
        <w:t>−</w:t>
      </w:r>
      <w:r w:rsidRPr="001E7DE4">
        <w:rPr>
          <w:rFonts w:ascii="Times New Roman" w:eastAsia="Times New Roman" w:hAnsi="Times New Roman" w:cs="Times New Roman"/>
          <w:color w:val="2E2E2E"/>
          <w:sz w:val="20"/>
          <w:szCs w:val="20"/>
          <w:lang w:val="en"/>
        </w:rPr>
        <w:t>, and the mineralization of bedrock elements into the groundwater was observed to be the primary source.</w:t>
      </w:r>
    </w:p>
    <w:p w14:paraId="75FBC90F" w14:textId="77777777" w:rsidR="00AB6F22" w:rsidRPr="000407E6" w:rsidRDefault="00AB6F22" w:rsidP="00AB6F22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14:paraId="575D2D33" w14:textId="77777777" w:rsidR="00AB6F22" w:rsidRPr="00F75FB8" w:rsidRDefault="00AB6F22" w:rsidP="00AB6F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2C9BEBE6" w14:textId="77777777" w:rsidR="00AB6F22" w:rsidRPr="000407E6" w:rsidRDefault="00AB6F22" w:rsidP="00AB6F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07E6">
        <w:rPr>
          <w:rFonts w:ascii="Times New Roman" w:hAnsi="Times New Roman" w:cs="Times New Roman"/>
          <w:sz w:val="20"/>
          <w:szCs w:val="20"/>
        </w:rPr>
        <w:t xml:space="preserve">APCS–MLR; aquifer; fluoride; PCA; </w:t>
      </w:r>
      <w:proofErr w:type="spellStart"/>
      <w:r w:rsidRPr="000407E6">
        <w:rPr>
          <w:rFonts w:ascii="Times New Roman" w:hAnsi="Times New Roman" w:cs="Times New Roman"/>
          <w:sz w:val="20"/>
          <w:szCs w:val="20"/>
        </w:rPr>
        <w:t>Seonath</w:t>
      </w:r>
      <w:proofErr w:type="spellEnd"/>
      <w:r w:rsidRPr="000407E6">
        <w:rPr>
          <w:rFonts w:ascii="Times New Roman" w:hAnsi="Times New Roman" w:cs="Times New Roman"/>
          <w:sz w:val="20"/>
          <w:szCs w:val="20"/>
        </w:rPr>
        <w:t xml:space="preserve"> River; source apportionment.</w:t>
      </w:r>
    </w:p>
    <w:p w14:paraId="74B59F62" w14:textId="77777777" w:rsidR="00AB6F22" w:rsidRPr="00F75FB8" w:rsidRDefault="00AB6F22" w:rsidP="00AB6F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530"/>
        <w:gridCol w:w="1080"/>
        <w:gridCol w:w="1800"/>
        <w:gridCol w:w="1800"/>
      </w:tblGrid>
      <w:tr w:rsidR="00AB6F22" w:rsidRPr="00F75FB8" w14:paraId="1DE7956D" w14:textId="77777777" w:rsidTr="00673108">
        <w:trPr>
          <w:trHeight w:val="207"/>
        </w:trPr>
        <w:tc>
          <w:tcPr>
            <w:tcW w:w="2610" w:type="dxa"/>
            <w:noWrap/>
            <w:hideMark/>
          </w:tcPr>
          <w:p w14:paraId="76B061B8" w14:textId="77777777" w:rsidR="00AB6F22" w:rsidRPr="00F75FB8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noWrap/>
            <w:hideMark/>
          </w:tcPr>
          <w:p w14:paraId="67A1B811" w14:textId="77777777" w:rsidR="00AB6F22" w:rsidRPr="00F75FB8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530" w:type="dxa"/>
            <w:hideMark/>
          </w:tcPr>
          <w:p w14:paraId="421F577E" w14:textId="77777777" w:rsidR="00AB6F22" w:rsidRPr="00F75FB8" w:rsidRDefault="00AB6F22" w:rsidP="006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Month &amp;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1080" w:type="dxa"/>
            <w:noWrap/>
            <w:hideMark/>
          </w:tcPr>
          <w:p w14:paraId="476C4527" w14:textId="77777777" w:rsidR="00AB6F22" w:rsidRPr="00F75FB8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800" w:type="dxa"/>
            <w:noWrap/>
            <w:hideMark/>
          </w:tcPr>
          <w:p w14:paraId="1FA5D4D8" w14:textId="77777777" w:rsidR="00AB6F22" w:rsidRPr="00F75FB8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37E3169F" w14:textId="77777777" w:rsidR="00AB6F22" w:rsidRPr="00F75FB8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AB6F22" w:rsidRPr="00F75FB8" w14:paraId="3D1A223A" w14:textId="77777777" w:rsidTr="00673108">
        <w:trPr>
          <w:trHeight w:hRule="exact" w:val="513"/>
        </w:trPr>
        <w:tc>
          <w:tcPr>
            <w:tcW w:w="2610" w:type="dxa"/>
            <w:noWrap/>
            <w:hideMark/>
          </w:tcPr>
          <w:p w14:paraId="585C2AE5" w14:textId="77777777" w:rsidR="00AB6F22" w:rsidRPr="001E7DE4" w:rsidRDefault="00AB6F22" w:rsidP="0067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E4">
              <w:rPr>
                <w:rFonts w:ascii="Times New Roman" w:hAnsi="Times New Roman" w:cs="Times New Roman"/>
                <w:sz w:val="20"/>
                <w:szCs w:val="20"/>
              </w:rPr>
              <w:t>Groundwater for Sustainable Development</w:t>
            </w:r>
          </w:p>
          <w:p w14:paraId="62E68B26" w14:textId="77777777" w:rsidR="00AB6F22" w:rsidRPr="001E7DE4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41752997" w14:textId="77777777" w:rsidR="00AB6F22" w:rsidRPr="001E7DE4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D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46C95834" w14:textId="77777777" w:rsidR="00AB6F22" w:rsidRPr="001E7DE4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D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Oct, 2020</w:t>
            </w:r>
          </w:p>
        </w:tc>
        <w:tc>
          <w:tcPr>
            <w:tcW w:w="1080" w:type="dxa"/>
            <w:noWrap/>
          </w:tcPr>
          <w:p w14:paraId="35498E45" w14:textId="77777777" w:rsidR="00AB6F22" w:rsidRPr="001E7DE4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100352</w:t>
            </w:r>
          </w:p>
        </w:tc>
        <w:tc>
          <w:tcPr>
            <w:tcW w:w="1800" w:type="dxa"/>
            <w:noWrap/>
          </w:tcPr>
          <w:p w14:paraId="61E3BC90" w14:textId="77777777" w:rsidR="00AB6F22" w:rsidRPr="001E7DE4" w:rsidRDefault="00AB6F22" w:rsidP="0067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ooltip="view all publisher's journals" w:history="1">
              <w:r w:rsidRPr="001E7DE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Elsevier BV</w:t>
              </w:r>
            </w:hyperlink>
          </w:p>
          <w:p w14:paraId="78C5D5CC" w14:textId="77777777" w:rsidR="00AB6F22" w:rsidRPr="001E7DE4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8A7EC1E" w14:textId="77777777" w:rsidR="00AB6F22" w:rsidRPr="001E7DE4" w:rsidRDefault="00AB6F2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D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Q1</w:t>
            </w:r>
          </w:p>
        </w:tc>
      </w:tr>
    </w:tbl>
    <w:p w14:paraId="39E0746F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22"/>
    <w:rsid w:val="00866CE2"/>
    <w:rsid w:val="00AB6F2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F780"/>
  <w15:chartTrackingRefBased/>
  <w15:docId w15:val="{A1B27F25-F09D-4097-B058-F5A9382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F22"/>
    <w:rPr>
      <w:color w:val="0000FF"/>
      <w:u w:val="single"/>
    </w:rPr>
  </w:style>
  <w:style w:type="character" w:customStyle="1" w:styleId="text">
    <w:name w:val="text"/>
    <w:basedOn w:val="DefaultParagraphFont"/>
    <w:rsid w:val="00A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magojr.com/journalsearch.php?q=Elsevier%20BV&amp;tip=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2022-05-18T09:58:00Z</dcterms:created>
  <dcterms:modified xsi:type="dcterms:W3CDTF">2022-05-18T09:58:00Z</dcterms:modified>
</cp:coreProperties>
</file>