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BAF5" w14:textId="77777777" w:rsidR="00792B73" w:rsidRDefault="00792B73" w:rsidP="00792B73">
      <w:pPr>
        <w:spacing w:after="0" w:line="240" w:lineRule="auto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Paper No: PU-SOE-</w:t>
      </w:r>
      <w:r w:rsidRPr="00A30382">
        <w:rPr>
          <w:rFonts w:ascii="Times New Roman" w:hAnsi="Times New Roman" w:cs="Times New Roman"/>
          <w:b/>
          <w:highlight w:val="yellow"/>
        </w:rPr>
        <w:t>CHE-19</w:t>
      </w:r>
    </w:p>
    <w:p w14:paraId="115F23D2" w14:textId="77777777" w:rsidR="00792B73" w:rsidRPr="008F4BDB" w:rsidRDefault="00792B73" w:rsidP="00792B73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09EDE877" w14:textId="77777777" w:rsidR="00792B73" w:rsidRPr="00A30382" w:rsidRDefault="00792B73" w:rsidP="00792B7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30382">
        <w:rPr>
          <w:rFonts w:ascii="Times New Roman" w:eastAsia="Times New Roman" w:hAnsi="Times New Roman" w:cs="Times New Roman"/>
          <w:b/>
          <w:color w:val="000000"/>
        </w:rPr>
        <w:t xml:space="preserve">CdS-MoS2 core-shell nanospheres: a new electrode for </w:t>
      </w:r>
      <w:proofErr w:type="gramStart"/>
      <w:r w:rsidRPr="00A30382">
        <w:rPr>
          <w:rFonts w:ascii="Times New Roman" w:eastAsia="Times New Roman" w:hAnsi="Times New Roman" w:cs="Times New Roman"/>
          <w:b/>
          <w:color w:val="000000"/>
        </w:rPr>
        <w:t>lithium ion</w:t>
      </w:r>
      <w:proofErr w:type="gramEnd"/>
      <w:r w:rsidRPr="00A30382">
        <w:rPr>
          <w:rFonts w:ascii="Times New Roman" w:eastAsia="Times New Roman" w:hAnsi="Times New Roman" w:cs="Times New Roman"/>
          <w:b/>
          <w:color w:val="000000"/>
        </w:rPr>
        <w:t xml:space="preserve"> batteries</w:t>
      </w:r>
    </w:p>
    <w:p w14:paraId="06FBC10D" w14:textId="77777777" w:rsidR="00792B73" w:rsidRPr="00776AD6" w:rsidRDefault="00792B73" w:rsidP="00792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0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S. B. Patil, B. Kishore, </w:t>
      </w:r>
      <w:r w:rsidRPr="00A303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R. </w:t>
      </w:r>
      <w:proofErr w:type="spellStart"/>
      <w:r w:rsidRPr="00A303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Vishwanatha</w:t>
      </w:r>
      <w:proofErr w:type="spellEnd"/>
      <w:r w:rsidRPr="00776AD6">
        <w:rPr>
          <w:rFonts w:ascii="Times New Roman" w:eastAsia="Times New Roman" w:hAnsi="Times New Roman" w:cs="Times New Roman"/>
          <w:color w:val="000000"/>
          <w:sz w:val="16"/>
          <w:szCs w:val="16"/>
        </w:rPr>
        <w:t>, G</w:t>
      </w:r>
      <w:r w:rsidRPr="00A30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Ebeling, G. </w:t>
      </w:r>
      <w:proofErr w:type="spellStart"/>
      <w:r w:rsidRPr="00A30382">
        <w:rPr>
          <w:rFonts w:ascii="Times New Roman" w:eastAsia="Times New Roman" w:hAnsi="Times New Roman" w:cs="Times New Roman"/>
          <w:color w:val="000000"/>
          <w:sz w:val="16"/>
          <w:szCs w:val="16"/>
        </w:rPr>
        <w:t>Nagaraju</w:t>
      </w:r>
      <w:proofErr w:type="spellEnd"/>
    </w:p>
    <w:p w14:paraId="0329BC75" w14:textId="77777777" w:rsidR="00792B73" w:rsidRPr="00487FA7" w:rsidRDefault="00792B73" w:rsidP="00792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87FA7">
        <w:rPr>
          <w:rFonts w:ascii="Times New Roman" w:eastAsia="Times New Roman" w:hAnsi="Times New Roman" w:cs="Times New Roman"/>
          <w:color w:val="333333"/>
          <w:sz w:val="16"/>
          <w:szCs w:val="16"/>
        </w:rPr>
        <w:t>Department of Chemistry, Presidency University, Bengaluru, 560 064, India</w:t>
      </w:r>
    </w:p>
    <w:p w14:paraId="732F98D6" w14:textId="77777777" w:rsidR="00792B73" w:rsidRPr="00776AD6" w:rsidRDefault="00792B73" w:rsidP="00792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14:paraId="04073CC3" w14:textId="77777777" w:rsidR="00792B73" w:rsidRPr="008F4BDB" w:rsidRDefault="00792B73" w:rsidP="0079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Abstract</w:t>
      </w:r>
    </w:p>
    <w:p w14:paraId="24B2C85A" w14:textId="77777777" w:rsidR="00792B73" w:rsidRPr="008F4BDB" w:rsidRDefault="00792B73" w:rsidP="00792B7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79BCF16B" w14:textId="77777777" w:rsidR="00792B73" w:rsidRPr="00776AD6" w:rsidRDefault="00792B73" w:rsidP="00792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D6">
        <w:rPr>
          <w:rFonts w:ascii="Times New Roman" w:hAnsi="Times New Roman" w:cs="Times New Roman"/>
          <w:sz w:val="20"/>
          <w:szCs w:val="20"/>
        </w:rPr>
        <w:t xml:space="preserve">Simple and single step ionic liquid assisted solvothermal method is proposed for synthesis of CdS@MoS2 core–shell nanospheres. The formation of core–shell structure can be attributed to 1-triethylene glycol monomethyl ether-3-methylimidazolium </w:t>
      </w:r>
      <w:proofErr w:type="spellStart"/>
      <w:r w:rsidRPr="00776AD6">
        <w:rPr>
          <w:rFonts w:ascii="Times New Roman" w:hAnsi="Times New Roman" w:cs="Times New Roman"/>
          <w:sz w:val="20"/>
          <w:szCs w:val="20"/>
        </w:rPr>
        <w:t>methanesulfonate</w:t>
      </w:r>
      <w:proofErr w:type="spellEnd"/>
      <w:r w:rsidRPr="00776AD6">
        <w:rPr>
          <w:rFonts w:ascii="Times New Roman" w:hAnsi="Times New Roman" w:cs="Times New Roman"/>
          <w:sz w:val="20"/>
          <w:szCs w:val="20"/>
        </w:rPr>
        <w:t xml:space="preserve"> ionic liquid added during the synthesis. Several physicochemical techniques were exercised to validate the desired state of the obtained material. Generally, implementation of </w:t>
      </w:r>
      <w:proofErr w:type="spellStart"/>
      <w:r w:rsidRPr="00776AD6">
        <w:rPr>
          <w:rFonts w:ascii="Times New Roman" w:hAnsi="Times New Roman" w:cs="Times New Roman"/>
          <w:sz w:val="20"/>
          <w:szCs w:val="20"/>
        </w:rPr>
        <w:t>CdS</w:t>
      </w:r>
      <w:proofErr w:type="spellEnd"/>
      <w:r w:rsidRPr="00776AD6">
        <w:rPr>
          <w:rFonts w:ascii="Times New Roman" w:hAnsi="Times New Roman" w:cs="Times New Roman"/>
          <w:sz w:val="20"/>
          <w:szCs w:val="20"/>
        </w:rPr>
        <w:t xml:space="preserve"> as anode for </w:t>
      </w:r>
      <w:proofErr w:type="gramStart"/>
      <w:r w:rsidRPr="00776AD6">
        <w:rPr>
          <w:rFonts w:ascii="Times New Roman" w:hAnsi="Times New Roman" w:cs="Times New Roman"/>
          <w:sz w:val="20"/>
          <w:szCs w:val="20"/>
        </w:rPr>
        <w:t>lithium ion</w:t>
      </w:r>
      <w:proofErr w:type="gramEnd"/>
      <w:r w:rsidRPr="00776AD6">
        <w:rPr>
          <w:rFonts w:ascii="Times New Roman" w:hAnsi="Times New Roman" w:cs="Times New Roman"/>
          <w:sz w:val="20"/>
          <w:szCs w:val="20"/>
        </w:rPr>
        <w:t xml:space="preserve"> batteries is truncated by its low theoretical capacity. Herein, we introduce CdS@MoS2 core–shell nanospheres to account this issue. MoS2, a layered material with high capacity and good stability, is selected as an appropriate material to form a p-n junction by encapsulation of </w:t>
      </w:r>
      <w:proofErr w:type="spellStart"/>
      <w:r w:rsidRPr="00776AD6">
        <w:rPr>
          <w:rFonts w:ascii="Times New Roman" w:hAnsi="Times New Roman" w:cs="Times New Roman"/>
          <w:sz w:val="20"/>
          <w:szCs w:val="20"/>
        </w:rPr>
        <w:t>CdS</w:t>
      </w:r>
      <w:proofErr w:type="spellEnd"/>
      <w:r w:rsidRPr="00776AD6">
        <w:rPr>
          <w:rFonts w:ascii="Times New Roman" w:hAnsi="Times New Roman" w:cs="Times New Roman"/>
          <w:sz w:val="20"/>
          <w:szCs w:val="20"/>
        </w:rPr>
        <w:t xml:space="preserve"> nanospheres. For the first time, CdS@MoS2 is probed as an anode for </w:t>
      </w:r>
      <w:proofErr w:type="gramStart"/>
      <w:r w:rsidRPr="00776AD6">
        <w:rPr>
          <w:rFonts w:ascii="Times New Roman" w:hAnsi="Times New Roman" w:cs="Times New Roman"/>
          <w:sz w:val="20"/>
          <w:szCs w:val="20"/>
        </w:rPr>
        <w:t>lithium ion</w:t>
      </w:r>
      <w:proofErr w:type="gramEnd"/>
      <w:r w:rsidRPr="00776AD6">
        <w:rPr>
          <w:rFonts w:ascii="Times New Roman" w:hAnsi="Times New Roman" w:cs="Times New Roman"/>
          <w:sz w:val="20"/>
          <w:szCs w:val="20"/>
        </w:rPr>
        <w:t xml:space="preserve"> batteries. At very high current rate of 0.2 C, the electrode delivered a high discharge capacity of 734 mA h g−1 after 100 cycles. The excellent electrochemical properties of CdS@MoS2 core–shell nanospheres including high specific capacity and high stability are ascribed to the encapsulation of </w:t>
      </w:r>
      <w:proofErr w:type="spellStart"/>
      <w:r w:rsidRPr="00776AD6">
        <w:rPr>
          <w:rFonts w:ascii="Times New Roman" w:hAnsi="Times New Roman" w:cs="Times New Roman"/>
          <w:sz w:val="20"/>
          <w:szCs w:val="20"/>
        </w:rPr>
        <w:t>CdS</w:t>
      </w:r>
      <w:proofErr w:type="spellEnd"/>
      <w:r w:rsidRPr="00776AD6">
        <w:rPr>
          <w:rFonts w:ascii="Times New Roman" w:hAnsi="Times New Roman" w:cs="Times New Roman"/>
          <w:sz w:val="20"/>
          <w:szCs w:val="20"/>
        </w:rPr>
        <w:t xml:space="preserve"> nanospheres with amorphous MoS2.</w:t>
      </w:r>
    </w:p>
    <w:p w14:paraId="60869612" w14:textId="77777777" w:rsidR="00792B73" w:rsidRPr="008F4BDB" w:rsidRDefault="00792B73" w:rsidP="00792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263828A7" w14:textId="77777777" w:rsidR="00792B73" w:rsidRDefault="00792B73" w:rsidP="00792B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Nanospoheres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lithium 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batteries, </w:t>
      </w:r>
      <w:r w:rsidRPr="00776AD6">
        <w:rPr>
          <w:rFonts w:ascii="Times New Roman" w:hAnsi="Times New Roman" w:cs="Times New Roman"/>
          <w:sz w:val="20"/>
          <w:szCs w:val="20"/>
        </w:rPr>
        <w:t>methylimidazolium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6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AD6">
        <w:rPr>
          <w:rFonts w:ascii="Times New Roman" w:hAnsi="Times New Roman" w:cs="Times New Roman"/>
          <w:sz w:val="20"/>
          <w:szCs w:val="20"/>
        </w:rPr>
        <w:t>methanesulfonate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776AD6">
        <w:rPr>
          <w:rFonts w:ascii="Times New Roman" w:hAnsi="Times New Roman" w:cs="Times New Roman"/>
          <w:sz w:val="20"/>
          <w:szCs w:val="20"/>
        </w:rPr>
        <w:t xml:space="preserve"> ionic liquid</w:t>
      </w:r>
    </w:p>
    <w:p w14:paraId="537C48A9" w14:textId="77777777" w:rsidR="00792B73" w:rsidRPr="008F4BDB" w:rsidRDefault="00792B73" w:rsidP="00792B73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707" w:type="dxa"/>
        <w:tblLook w:val="04A0" w:firstRow="1" w:lastRow="0" w:firstColumn="1" w:lastColumn="0" w:noHBand="0" w:noVBand="1"/>
      </w:tblPr>
      <w:tblGrid>
        <w:gridCol w:w="2375"/>
        <w:gridCol w:w="951"/>
        <w:gridCol w:w="1078"/>
        <w:gridCol w:w="1260"/>
        <w:gridCol w:w="2348"/>
        <w:gridCol w:w="1695"/>
      </w:tblGrid>
      <w:tr w:rsidR="00792B73" w:rsidRPr="008A319C" w14:paraId="0D5EC9C1" w14:textId="77777777" w:rsidTr="00673108">
        <w:trPr>
          <w:trHeight w:val="247"/>
        </w:trPr>
        <w:tc>
          <w:tcPr>
            <w:tcW w:w="2375" w:type="dxa"/>
            <w:shd w:val="clear" w:color="auto" w:fill="auto"/>
            <w:noWrap/>
            <w:hideMark/>
          </w:tcPr>
          <w:p w14:paraId="61FC6BDC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Journal Name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BC2C96A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Vol.</w:t>
            </w:r>
          </w:p>
        </w:tc>
        <w:tc>
          <w:tcPr>
            <w:tcW w:w="1078" w:type="dxa"/>
            <w:shd w:val="clear" w:color="auto" w:fill="auto"/>
            <w:hideMark/>
          </w:tcPr>
          <w:p w14:paraId="6AB5AFF6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Month &amp; </w:t>
            </w: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2C6302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Page No.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14:paraId="5CDF1A1E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Publisher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75F9DB4B" w14:textId="77777777" w:rsidR="00792B73" w:rsidRPr="008F4BDB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Scimago</w:t>
            </w:r>
            <w:proofErr w:type="spellEnd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Ranking</w:t>
            </w:r>
          </w:p>
        </w:tc>
      </w:tr>
      <w:tr w:rsidR="00792B73" w:rsidRPr="008A319C" w14:paraId="452EDEC3" w14:textId="77777777" w:rsidTr="00673108">
        <w:trPr>
          <w:trHeight w:hRule="exact" w:val="810"/>
        </w:trPr>
        <w:tc>
          <w:tcPr>
            <w:tcW w:w="2375" w:type="dxa"/>
            <w:shd w:val="clear" w:color="auto" w:fill="auto"/>
            <w:noWrap/>
          </w:tcPr>
          <w:p w14:paraId="086EAE2F" w14:textId="77777777" w:rsidR="00792B73" w:rsidRPr="00A30382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of Materials Science: Materials in</w:t>
            </w:r>
            <w:r w:rsidRPr="00A30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Electronics</w:t>
            </w:r>
          </w:p>
        </w:tc>
        <w:tc>
          <w:tcPr>
            <w:tcW w:w="951" w:type="dxa"/>
            <w:shd w:val="clear" w:color="auto" w:fill="auto"/>
            <w:noWrap/>
          </w:tcPr>
          <w:p w14:paraId="191CF5FA" w14:textId="77777777" w:rsidR="00792B73" w:rsidRPr="00A30382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(15)</w:t>
            </w:r>
          </w:p>
        </w:tc>
        <w:tc>
          <w:tcPr>
            <w:tcW w:w="1078" w:type="dxa"/>
            <w:shd w:val="clear" w:color="auto" w:fill="auto"/>
          </w:tcPr>
          <w:p w14:paraId="07153471" w14:textId="77777777" w:rsidR="00792B73" w:rsidRPr="00A30382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July, 2019</w:t>
            </w:r>
          </w:p>
        </w:tc>
        <w:tc>
          <w:tcPr>
            <w:tcW w:w="1260" w:type="dxa"/>
            <w:shd w:val="clear" w:color="auto" w:fill="auto"/>
            <w:noWrap/>
          </w:tcPr>
          <w:p w14:paraId="53898481" w14:textId="77777777" w:rsidR="00792B73" w:rsidRPr="00A30382" w:rsidRDefault="00792B73" w:rsidP="006731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14456–14463</w:t>
            </w:r>
          </w:p>
        </w:tc>
        <w:tc>
          <w:tcPr>
            <w:tcW w:w="2348" w:type="dxa"/>
            <w:shd w:val="clear" w:color="auto" w:fill="auto"/>
            <w:noWrap/>
          </w:tcPr>
          <w:p w14:paraId="5DAD1E35" w14:textId="77777777" w:rsidR="00792B73" w:rsidRPr="00A30382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695" w:type="dxa"/>
            <w:shd w:val="clear" w:color="auto" w:fill="auto"/>
            <w:noWrap/>
          </w:tcPr>
          <w:p w14:paraId="556CACD2" w14:textId="77777777" w:rsidR="00792B73" w:rsidRPr="00A30382" w:rsidRDefault="00792B73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Q2</w:t>
            </w:r>
          </w:p>
        </w:tc>
      </w:tr>
    </w:tbl>
    <w:p w14:paraId="09CC132A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73"/>
    <w:rsid w:val="00792B73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9A1"/>
  <w15:chartTrackingRefBased/>
  <w15:docId w15:val="{362C3A1D-C5DA-4E7A-B4D4-41CF6E8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2022-05-18T10:46:00Z</dcterms:created>
  <dcterms:modified xsi:type="dcterms:W3CDTF">2022-05-18T10:47:00Z</dcterms:modified>
</cp:coreProperties>
</file>