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3A67" w14:textId="77777777" w:rsidR="00163021" w:rsidRPr="008F4BDB" w:rsidRDefault="00163021" w:rsidP="00163021">
      <w:pPr>
        <w:spacing w:after="0" w:line="240" w:lineRule="auto"/>
        <w:rPr>
          <w:rFonts w:ascii="Times New Roman" w:hAnsi="Times New Roman" w:cs="Times New Roman"/>
          <w:b/>
        </w:rPr>
      </w:pPr>
      <w:r w:rsidRPr="008F4BDB">
        <w:rPr>
          <w:rFonts w:ascii="Times New Roman" w:hAnsi="Times New Roman" w:cs="Times New Roman"/>
          <w:b/>
        </w:rPr>
        <w:t>Paper No: PU-SOE</w:t>
      </w:r>
      <w:r w:rsidRPr="00487FA7">
        <w:rPr>
          <w:rFonts w:ascii="Times New Roman" w:hAnsi="Times New Roman" w:cs="Times New Roman"/>
          <w:b/>
        </w:rPr>
        <w:t>-</w:t>
      </w:r>
      <w:r w:rsidRPr="00894860">
        <w:rPr>
          <w:rFonts w:ascii="Times New Roman" w:hAnsi="Times New Roman" w:cs="Times New Roman"/>
          <w:b/>
        </w:rPr>
        <w:t>CHE-20</w:t>
      </w:r>
    </w:p>
    <w:p w14:paraId="0EA06D8B" w14:textId="77777777" w:rsidR="00163021" w:rsidRPr="007068D8" w:rsidRDefault="00163021" w:rsidP="00163021">
      <w:pPr>
        <w:spacing w:after="0" w:line="240" w:lineRule="auto"/>
        <w:rPr>
          <w:rFonts w:ascii="Times New Roman" w:eastAsia="Times New Roman" w:hAnsi="Times New Roman" w:cs="Times New Roman"/>
          <w:b/>
          <w:color w:val="000000"/>
          <w:sz w:val="4"/>
        </w:rPr>
      </w:pPr>
    </w:p>
    <w:p w14:paraId="3B972518" w14:textId="77777777" w:rsidR="00163021" w:rsidRPr="008126AA" w:rsidRDefault="00163021" w:rsidP="00163021">
      <w:pPr>
        <w:spacing w:after="0" w:line="240" w:lineRule="auto"/>
        <w:rPr>
          <w:rFonts w:ascii="Times New Roman" w:eastAsia="Times New Roman" w:hAnsi="Times New Roman" w:cs="Times New Roman"/>
          <w:b/>
          <w:color w:val="000000"/>
        </w:rPr>
      </w:pPr>
      <w:r w:rsidRPr="008126AA">
        <w:rPr>
          <w:rFonts w:ascii="Times New Roman" w:eastAsia="Times New Roman" w:hAnsi="Times New Roman" w:cs="Times New Roman"/>
          <w:b/>
          <w:color w:val="000000"/>
        </w:rPr>
        <w:t>A New approach to compute Atomic Electrophilicity Index in terms of Gordy's Electronegativity</w:t>
      </w:r>
    </w:p>
    <w:p w14:paraId="3076DB04" w14:textId="77777777" w:rsidR="00163021" w:rsidRPr="00DE7986" w:rsidRDefault="00163021" w:rsidP="00163021">
      <w:pPr>
        <w:spacing w:after="0" w:line="240" w:lineRule="auto"/>
        <w:rPr>
          <w:rFonts w:ascii="Times New Roman" w:eastAsia="Times New Roman" w:hAnsi="Times New Roman" w:cs="Times New Roman"/>
          <w:color w:val="000000"/>
          <w:sz w:val="8"/>
        </w:rPr>
      </w:pPr>
    </w:p>
    <w:p w14:paraId="5ABD055D" w14:textId="77777777" w:rsidR="00163021" w:rsidRPr="00A30382" w:rsidRDefault="00163021" w:rsidP="00163021">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Tanmoy</w:t>
      </w:r>
    </w:p>
    <w:p w14:paraId="2083A39E" w14:textId="77777777" w:rsidR="00163021" w:rsidRPr="00A30382" w:rsidRDefault="00163021" w:rsidP="00163021">
      <w:pPr>
        <w:spacing w:after="0" w:line="240" w:lineRule="auto"/>
        <w:rPr>
          <w:rFonts w:ascii="Times New Roman" w:eastAsia="Times New Roman" w:hAnsi="Times New Roman" w:cs="Times New Roman"/>
          <w:sz w:val="16"/>
          <w:szCs w:val="16"/>
        </w:rPr>
      </w:pPr>
      <w:r w:rsidRPr="00A30382">
        <w:rPr>
          <w:rFonts w:ascii="Times New Roman" w:hAnsi="Times New Roman" w:cs="Times New Roman"/>
          <w:sz w:val="16"/>
          <w:szCs w:val="16"/>
        </w:rPr>
        <w:t>Department of Chemistry, School of Engineering, Presidency University, Yelahanka, Bangalore, 560064, India</w:t>
      </w:r>
    </w:p>
    <w:p w14:paraId="7528AE46" w14:textId="77777777" w:rsidR="00163021" w:rsidRPr="00A30382" w:rsidRDefault="00163021" w:rsidP="00163021">
      <w:pPr>
        <w:spacing w:after="0" w:line="240" w:lineRule="auto"/>
        <w:jc w:val="center"/>
        <w:rPr>
          <w:rFonts w:ascii="Times New Roman" w:hAnsi="Times New Roman" w:cs="Times New Roman"/>
          <w:b/>
          <w:sz w:val="8"/>
        </w:rPr>
      </w:pPr>
    </w:p>
    <w:p w14:paraId="34B2B761" w14:textId="77777777" w:rsidR="00163021" w:rsidRPr="008F4BDB" w:rsidRDefault="00163021" w:rsidP="00163021">
      <w:pPr>
        <w:spacing w:after="0" w:line="240" w:lineRule="auto"/>
        <w:jc w:val="center"/>
        <w:rPr>
          <w:rFonts w:ascii="Times New Roman" w:hAnsi="Times New Roman" w:cs="Times New Roman"/>
          <w:b/>
        </w:rPr>
      </w:pPr>
      <w:r w:rsidRPr="008F4BDB">
        <w:rPr>
          <w:rFonts w:ascii="Times New Roman" w:hAnsi="Times New Roman" w:cs="Times New Roman"/>
          <w:b/>
        </w:rPr>
        <w:t>Abstract</w:t>
      </w:r>
    </w:p>
    <w:p w14:paraId="4731D922" w14:textId="77777777" w:rsidR="00163021" w:rsidRPr="008F4BDB" w:rsidRDefault="00163021" w:rsidP="00163021">
      <w:pPr>
        <w:spacing w:after="0" w:line="240" w:lineRule="auto"/>
        <w:jc w:val="center"/>
        <w:rPr>
          <w:rFonts w:ascii="Times New Roman" w:hAnsi="Times New Roman" w:cs="Times New Roman"/>
          <w:b/>
          <w:sz w:val="4"/>
        </w:rPr>
      </w:pPr>
    </w:p>
    <w:p w14:paraId="5E63BF79" w14:textId="77777777" w:rsidR="00163021" w:rsidRPr="00A30382" w:rsidRDefault="00163021" w:rsidP="00163021">
      <w:pPr>
        <w:spacing w:after="0" w:line="240" w:lineRule="auto"/>
        <w:jc w:val="both"/>
        <w:rPr>
          <w:rFonts w:ascii="Times New Roman" w:hAnsi="Times New Roman" w:cs="Times New Roman"/>
          <w:sz w:val="20"/>
          <w:szCs w:val="20"/>
        </w:rPr>
      </w:pPr>
      <w:r w:rsidRPr="00894860">
        <w:rPr>
          <w:rFonts w:ascii="Times New Roman" w:hAnsi="Times New Roman" w:cs="Times New Roman"/>
          <w:color w:val="333333"/>
          <w:sz w:val="20"/>
          <w:shd w:val="clear" w:color="auto" w:fill="FFFFFF"/>
        </w:rPr>
        <w:t xml:space="preserve">Electrophilicity index is a well-known Conceptual Density Functional Theory–based reactivity descriptor to explain a wide range of physicochemical </w:t>
      </w:r>
      <w:proofErr w:type="spellStart"/>
      <w:r w:rsidRPr="00894860">
        <w:rPr>
          <w:rFonts w:ascii="Times New Roman" w:hAnsi="Times New Roman" w:cs="Times New Roman"/>
          <w:color w:val="333333"/>
          <w:sz w:val="20"/>
          <w:shd w:val="clear" w:color="auto" w:fill="FFFFFF"/>
        </w:rPr>
        <w:t>behaviours</w:t>
      </w:r>
      <w:proofErr w:type="spellEnd"/>
      <w:r w:rsidRPr="00894860">
        <w:rPr>
          <w:rFonts w:ascii="Times New Roman" w:hAnsi="Times New Roman" w:cs="Times New Roman"/>
          <w:color w:val="333333"/>
          <w:sz w:val="20"/>
          <w:shd w:val="clear" w:color="auto" w:fill="FFFFFF"/>
        </w:rPr>
        <w:t>. In the present work, an attempt is made to evaluate a new electrophilicity index scale in terms of nucleophilicity index relying on Gordy’s electronegativity scale. The computation is performed for 103 elements of the periodic table invoking regression analysis. The new set of electrophilicity index satisfies the </w:t>
      </w:r>
      <w:r w:rsidRPr="00894860">
        <w:rPr>
          <w:rFonts w:ascii="Times New Roman" w:hAnsi="Times New Roman" w:cs="Times New Roman"/>
          <w:i/>
          <w:iCs/>
          <w:color w:val="333333"/>
          <w:sz w:val="20"/>
          <w:shd w:val="clear" w:color="auto" w:fill="FFFFFF"/>
        </w:rPr>
        <w:t>sine qua non</w:t>
      </w:r>
      <w:r w:rsidRPr="00894860">
        <w:rPr>
          <w:rFonts w:ascii="Times New Roman" w:hAnsi="Times New Roman" w:cs="Times New Roman"/>
          <w:color w:val="333333"/>
          <w:sz w:val="20"/>
          <w:shd w:val="clear" w:color="auto" w:fill="FFFFFF"/>
        </w:rPr>
        <w:t> of a standard scale. Electrophilicity Equalization Principle is also validated by our computed data. It is put forward that the new scale will be useful in understanding various physicochemical properties and related phenomenon</w:t>
      </w:r>
      <w:r>
        <w:rPr>
          <w:rFonts w:ascii="Arial" w:hAnsi="Arial" w:cs="Arial"/>
          <w:color w:val="333333"/>
          <w:shd w:val="clear" w:color="auto" w:fill="FFFFFF"/>
        </w:rPr>
        <w:t>.</w:t>
      </w:r>
    </w:p>
    <w:p w14:paraId="33B561CB" w14:textId="77777777" w:rsidR="00163021" w:rsidRPr="00894860" w:rsidRDefault="00163021" w:rsidP="00163021">
      <w:pPr>
        <w:spacing w:after="0" w:line="240" w:lineRule="auto"/>
        <w:jc w:val="both"/>
        <w:rPr>
          <w:rFonts w:ascii="Times New Roman" w:hAnsi="Times New Roman" w:cs="Times New Roman"/>
          <w:b/>
          <w:sz w:val="10"/>
        </w:rPr>
      </w:pPr>
    </w:p>
    <w:p w14:paraId="5075849C" w14:textId="77777777" w:rsidR="00163021" w:rsidRPr="008F4BDB" w:rsidRDefault="00163021" w:rsidP="00163021">
      <w:pPr>
        <w:spacing w:after="0" w:line="240" w:lineRule="auto"/>
        <w:jc w:val="both"/>
        <w:rPr>
          <w:rFonts w:ascii="Times New Roman" w:hAnsi="Times New Roman" w:cs="Times New Roman"/>
          <w:b/>
        </w:rPr>
      </w:pPr>
      <w:r>
        <w:rPr>
          <w:rFonts w:ascii="Times New Roman" w:hAnsi="Times New Roman" w:cs="Times New Roman"/>
          <w:b/>
        </w:rPr>
        <w:t>Keywords:</w:t>
      </w:r>
    </w:p>
    <w:p w14:paraId="476D22AC" w14:textId="77777777" w:rsidR="00163021" w:rsidRPr="00894860" w:rsidRDefault="00163021" w:rsidP="00163021">
      <w:pPr>
        <w:tabs>
          <w:tab w:val="center" w:pos="4680"/>
        </w:tabs>
        <w:spacing w:after="0" w:line="240" w:lineRule="auto"/>
        <w:jc w:val="both"/>
        <w:rPr>
          <w:rFonts w:ascii="Times New Roman" w:hAnsi="Times New Roman" w:cs="Times New Roman"/>
          <w:b/>
          <w:sz w:val="20"/>
          <w:szCs w:val="20"/>
        </w:rPr>
      </w:pPr>
      <w:hyperlink r:id="rId4" w:history="1">
        <w:r w:rsidRPr="00894860">
          <w:rPr>
            <w:rStyle w:val="Hyperlink"/>
            <w:rFonts w:ascii="Times New Roman" w:hAnsi="Times New Roman" w:cs="Times New Roman"/>
            <w:sz w:val="20"/>
            <w:szCs w:val="20"/>
            <w:shd w:val="clear" w:color="auto" w:fill="FFFFFF"/>
          </w:rPr>
          <w:t>Absolute radius</w:t>
        </w:r>
      </w:hyperlink>
      <w:r w:rsidRPr="00894860">
        <w:rPr>
          <w:rStyle w:val="kwd"/>
          <w:rFonts w:ascii="Times New Roman" w:hAnsi="Times New Roman" w:cs="Times New Roman"/>
          <w:sz w:val="20"/>
          <w:szCs w:val="20"/>
          <w:shd w:val="clear" w:color="auto" w:fill="FFFFFF"/>
        </w:rPr>
        <w:t>, </w:t>
      </w:r>
      <w:hyperlink r:id="rId5" w:history="1">
        <w:r w:rsidRPr="00894860">
          <w:rPr>
            <w:rStyle w:val="Hyperlink"/>
            <w:rFonts w:ascii="Times New Roman" w:hAnsi="Times New Roman" w:cs="Times New Roman"/>
            <w:sz w:val="20"/>
            <w:szCs w:val="20"/>
            <w:shd w:val="clear" w:color="auto" w:fill="FFFFFF"/>
          </w:rPr>
          <w:t>Conceptual Density Functional Theory</w:t>
        </w:r>
      </w:hyperlink>
      <w:r w:rsidRPr="00894860">
        <w:rPr>
          <w:rStyle w:val="kwd"/>
          <w:rFonts w:ascii="Times New Roman" w:hAnsi="Times New Roman" w:cs="Times New Roman"/>
          <w:sz w:val="20"/>
          <w:szCs w:val="20"/>
          <w:shd w:val="clear" w:color="auto" w:fill="FFFFFF"/>
        </w:rPr>
        <w:t>, </w:t>
      </w:r>
      <w:hyperlink r:id="rId6" w:history="1">
        <w:r w:rsidRPr="00894860">
          <w:rPr>
            <w:rStyle w:val="Hyperlink"/>
            <w:rFonts w:ascii="Times New Roman" w:hAnsi="Times New Roman" w:cs="Times New Roman"/>
            <w:sz w:val="20"/>
            <w:szCs w:val="20"/>
            <w:shd w:val="clear" w:color="auto" w:fill="FFFFFF"/>
          </w:rPr>
          <w:t>effective nuclear charge</w:t>
        </w:r>
      </w:hyperlink>
      <w:r w:rsidRPr="00894860">
        <w:rPr>
          <w:rStyle w:val="kwd"/>
          <w:rFonts w:ascii="Times New Roman" w:hAnsi="Times New Roman" w:cs="Times New Roman"/>
          <w:sz w:val="20"/>
          <w:szCs w:val="20"/>
          <w:shd w:val="clear" w:color="auto" w:fill="FFFFFF"/>
        </w:rPr>
        <w:t>, </w:t>
      </w:r>
      <w:hyperlink r:id="rId7" w:history="1">
        <w:r w:rsidRPr="00894860">
          <w:rPr>
            <w:rStyle w:val="Hyperlink"/>
            <w:rFonts w:ascii="Times New Roman" w:hAnsi="Times New Roman" w:cs="Times New Roman"/>
            <w:sz w:val="20"/>
            <w:szCs w:val="20"/>
            <w:shd w:val="clear" w:color="auto" w:fill="FFFFFF"/>
          </w:rPr>
          <w:t>Electrophilicity Equalization Principle</w:t>
        </w:r>
      </w:hyperlink>
      <w:r w:rsidRPr="00894860">
        <w:rPr>
          <w:rStyle w:val="kwd"/>
          <w:rFonts w:ascii="Times New Roman" w:hAnsi="Times New Roman" w:cs="Times New Roman"/>
          <w:sz w:val="20"/>
          <w:szCs w:val="20"/>
          <w:shd w:val="clear" w:color="auto" w:fill="FFFFFF"/>
        </w:rPr>
        <w:t>, </w:t>
      </w:r>
      <w:hyperlink r:id="rId8" w:history="1">
        <w:r w:rsidRPr="00894860">
          <w:rPr>
            <w:rStyle w:val="Hyperlink"/>
            <w:rFonts w:ascii="Times New Roman" w:hAnsi="Times New Roman" w:cs="Times New Roman"/>
            <w:sz w:val="20"/>
            <w:szCs w:val="20"/>
            <w:shd w:val="clear" w:color="auto" w:fill="FFFFFF"/>
          </w:rPr>
          <w:t>electrophilicity index</w:t>
        </w:r>
      </w:hyperlink>
      <w:r w:rsidRPr="00894860">
        <w:rPr>
          <w:rStyle w:val="kwd"/>
          <w:rFonts w:ascii="Times New Roman" w:hAnsi="Times New Roman" w:cs="Times New Roman"/>
          <w:sz w:val="20"/>
          <w:szCs w:val="20"/>
          <w:shd w:val="clear" w:color="auto" w:fill="FFFFFF"/>
        </w:rPr>
        <w:t>, </w:t>
      </w:r>
      <w:hyperlink r:id="rId9" w:history="1">
        <w:r w:rsidRPr="00894860">
          <w:rPr>
            <w:rStyle w:val="Hyperlink"/>
            <w:rFonts w:ascii="Times New Roman" w:hAnsi="Times New Roman" w:cs="Times New Roman"/>
            <w:sz w:val="20"/>
            <w:szCs w:val="20"/>
            <w:shd w:val="clear" w:color="auto" w:fill="FFFFFF"/>
          </w:rPr>
          <w:t>nucleophilicity index</w:t>
        </w:r>
      </w:hyperlink>
      <w:r w:rsidRPr="00894860">
        <w:rPr>
          <w:rStyle w:val="kwd"/>
          <w:rFonts w:ascii="Times New Roman" w:hAnsi="Times New Roman" w:cs="Times New Roman"/>
          <w:sz w:val="20"/>
          <w:szCs w:val="20"/>
          <w:shd w:val="clear" w:color="auto" w:fill="FFFFFF"/>
        </w:rPr>
        <w:t>, </w:t>
      </w:r>
      <w:hyperlink r:id="rId10" w:history="1">
        <w:r w:rsidRPr="00894860">
          <w:rPr>
            <w:rStyle w:val="Hyperlink"/>
            <w:rFonts w:ascii="Times New Roman" w:hAnsi="Times New Roman" w:cs="Times New Roman"/>
            <w:sz w:val="20"/>
            <w:szCs w:val="20"/>
            <w:shd w:val="clear" w:color="auto" w:fill="FFFFFF"/>
          </w:rPr>
          <w:t>periodic descriptor</w:t>
        </w:r>
      </w:hyperlink>
    </w:p>
    <w:p w14:paraId="40D7FDB2" w14:textId="77777777" w:rsidR="00163021" w:rsidRPr="00B8661F" w:rsidRDefault="00163021" w:rsidP="00163021">
      <w:pPr>
        <w:tabs>
          <w:tab w:val="center" w:pos="4680"/>
        </w:tabs>
        <w:spacing w:after="0" w:line="240" w:lineRule="auto"/>
        <w:jc w:val="both"/>
        <w:rPr>
          <w:rFonts w:ascii="Times New Roman" w:hAnsi="Times New Roman" w:cs="Times New Roman"/>
          <w:b/>
          <w:sz w:val="28"/>
          <w:vertAlign w:val="superscript"/>
        </w:rPr>
      </w:pPr>
      <w:r>
        <w:rPr>
          <w:rFonts w:ascii="Times New Roman" w:hAnsi="Times New Roman" w:cs="Times New Roman"/>
          <w:b/>
        </w:rPr>
        <w:t>Publication Details:</w:t>
      </w:r>
      <w:r w:rsidRPr="00B8661F">
        <w:rPr>
          <w:rFonts w:ascii="Times New Roman" w:hAnsi="Times New Roman" w:cs="Times New Roman"/>
          <w:b/>
          <w:sz w:val="28"/>
        </w:rPr>
        <w:tab/>
      </w:r>
    </w:p>
    <w:tbl>
      <w:tblPr>
        <w:tblW w:w="9456" w:type="dxa"/>
        <w:tblLayout w:type="fixed"/>
        <w:tblLook w:val="04A0" w:firstRow="1" w:lastRow="0" w:firstColumn="1" w:lastColumn="0" w:noHBand="0" w:noVBand="1"/>
      </w:tblPr>
      <w:tblGrid>
        <w:gridCol w:w="2612"/>
        <w:gridCol w:w="900"/>
        <w:gridCol w:w="1718"/>
        <w:gridCol w:w="1048"/>
        <w:gridCol w:w="1377"/>
        <w:gridCol w:w="1801"/>
      </w:tblGrid>
      <w:tr w:rsidR="00163021" w:rsidRPr="00B8661F" w14:paraId="7B750907" w14:textId="77777777" w:rsidTr="00673108">
        <w:trPr>
          <w:trHeight w:val="266"/>
        </w:trPr>
        <w:tc>
          <w:tcPr>
            <w:tcW w:w="2612" w:type="dxa"/>
            <w:shd w:val="clear" w:color="auto" w:fill="auto"/>
            <w:noWrap/>
            <w:hideMark/>
          </w:tcPr>
          <w:p w14:paraId="392C6E01" w14:textId="77777777" w:rsidR="00163021" w:rsidRPr="008F4BDB" w:rsidRDefault="00163021"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Journal Name</w:t>
            </w:r>
          </w:p>
        </w:tc>
        <w:tc>
          <w:tcPr>
            <w:tcW w:w="900" w:type="dxa"/>
            <w:shd w:val="clear" w:color="auto" w:fill="auto"/>
            <w:noWrap/>
            <w:hideMark/>
          </w:tcPr>
          <w:p w14:paraId="7884FC1E" w14:textId="77777777" w:rsidR="00163021" w:rsidRPr="008F4BDB" w:rsidRDefault="00163021"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Vol.</w:t>
            </w:r>
          </w:p>
        </w:tc>
        <w:tc>
          <w:tcPr>
            <w:tcW w:w="1718" w:type="dxa"/>
            <w:shd w:val="clear" w:color="auto" w:fill="auto"/>
            <w:hideMark/>
          </w:tcPr>
          <w:p w14:paraId="20C91059" w14:textId="77777777" w:rsidR="00163021" w:rsidRPr="008F4BDB" w:rsidRDefault="00163021"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 xml:space="preserve">Month </w:t>
            </w:r>
            <w:proofErr w:type="gramStart"/>
            <w:r w:rsidRPr="008F4BDB">
              <w:rPr>
                <w:rFonts w:ascii="Times New Roman" w:eastAsia="Times New Roman" w:hAnsi="Times New Roman" w:cs="Times New Roman"/>
                <w:b/>
                <w:bCs/>
                <w:color w:val="000000"/>
                <w:sz w:val="20"/>
              </w:rPr>
              <w:t>&amp;  Year</w:t>
            </w:r>
            <w:proofErr w:type="gramEnd"/>
          </w:p>
        </w:tc>
        <w:tc>
          <w:tcPr>
            <w:tcW w:w="1048" w:type="dxa"/>
            <w:shd w:val="clear" w:color="auto" w:fill="auto"/>
            <w:noWrap/>
            <w:hideMark/>
          </w:tcPr>
          <w:p w14:paraId="5C84ED23" w14:textId="77777777" w:rsidR="00163021" w:rsidRPr="008F4BDB" w:rsidRDefault="00163021"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Page No.</w:t>
            </w:r>
          </w:p>
        </w:tc>
        <w:tc>
          <w:tcPr>
            <w:tcW w:w="1377" w:type="dxa"/>
            <w:shd w:val="clear" w:color="auto" w:fill="auto"/>
            <w:noWrap/>
            <w:hideMark/>
          </w:tcPr>
          <w:p w14:paraId="728A4A81" w14:textId="77777777" w:rsidR="00163021" w:rsidRPr="008F4BDB" w:rsidRDefault="00163021"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Publisher</w:t>
            </w:r>
          </w:p>
        </w:tc>
        <w:tc>
          <w:tcPr>
            <w:tcW w:w="1801" w:type="dxa"/>
            <w:shd w:val="clear" w:color="auto" w:fill="auto"/>
            <w:noWrap/>
            <w:hideMark/>
          </w:tcPr>
          <w:p w14:paraId="3E591B31" w14:textId="77777777" w:rsidR="00163021" w:rsidRPr="008F4BDB" w:rsidRDefault="00163021" w:rsidP="00673108">
            <w:pPr>
              <w:spacing w:after="0" w:line="240" w:lineRule="auto"/>
              <w:jc w:val="center"/>
              <w:rPr>
                <w:rFonts w:ascii="Times New Roman" w:eastAsia="Times New Roman" w:hAnsi="Times New Roman" w:cs="Times New Roman"/>
                <w:b/>
                <w:bCs/>
                <w:color w:val="000000"/>
                <w:sz w:val="20"/>
              </w:rPr>
            </w:pPr>
            <w:proofErr w:type="spellStart"/>
            <w:r w:rsidRPr="008F4BDB">
              <w:rPr>
                <w:rFonts w:ascii="Times New Roman" w:eastAsia="Times New Roman" w:hAnsi="Times New Roman" w:cs="Times New Roman"/>
                <w:b/>
                <w:bCs/>
                <w:color w:val="000000"/>
                <w:sz w:val="20"/>
              </w:rPr>
              <w:t>Scimago</w:t>
            </w:r>
            <w:proofErr w:type="spellEnd"/>
            <w:r w:rsidRPr="008F4BDB">
              <w:rPr>
                <w:rFonts w:ascii="Times New Roman" w:eastAsia="Times New Roman" w:hAnsi="Times New Roman" w:cs="Times New Roman"/>
                <w:b/>
                <w:bCs/>
                <w:color w:val="000000"/>
                <w:sz w:val="20"/>
              </w:rPr>
              <w:t xml:space="preserve"> Ranking</w:t>
            </w:r>
          </w:p>
        </w:tc>
      </w:tr>
      <w:tr w:rsidR="00163021" w:rsidRPr="00B8661F" w14:paraId="7EFC953A" w14:textId="77777777" w:rsidTr="00673108">
        <w:trPr>
          <w:trHeight w:val="253"/>
        </w:trPr>
        <w:tc>
          <w:tcPr>
            <w:tcW w:w="2612" w:type="dxa"/>
            <w:shd w:val="clear" w:color="auto" w:fill="auto"/>
            <w:noWrap/>
          </w:tcPr>
          <w:p w14:paraId="53E856C4" w14:textId="77777777" w:rsidR="00163021" w:rsidRPr="00894860" w:rsidRDefault="00163021" w:rsidP="00673108">
            <w:pPr>
              <w:jc w:val="center"/>
              <w:rPr>
                <w:rFonts w:ascii="Times New Roman" w:eastAsia="Times New Roman" w:hAnsi="Times New Roman" w:cs="Times New Roman"/>
                <w:bCs/>
                <w:color w:val="000000"/>
                <w:sz w:val="20"/>
                <w:szCs w:val="20"/>
              </w:rPr>
            </w:pPr>
            <w:r w:rsidRPr="00894860">
              <w:rPr>
                <w:rFonts w:ascii="Times New Roman" w:hAnsi="Times New Roman" w:cs="Times New Roman"/>
                <w:color w:val="000000"/>
                <w:sz w:val="20"/>
                <w:szCs w:val="20"/>
              </w:rPr>
              <w:t>Journal of Chemical Research</w:t>
            </w:r>
          </w:p>
        </w:tc>
        <w:tc>
          <w:tcPr>
            <w:tcW w:w="900" w:type="dxa"/>
            <w:shd w:val="clear" w:color="auto" w:fill="auto"/>
            <w:noWrap/>
          </w:tcPr>
          <w:p w14:paraId="1355758C" w14:textId="77777777" w:rsidR="00163021" w:rsidRPr="00894860" w:rsidRDefault="00163021" w:rsidP="00673108">
            <w:pPr>
              <w:spacing w:after="0" w:line="240" w:lineRule="auto"/>
              <w:jc w:val="center"/>
              <w:rPr>
                <w:rFonts w:ascii="Times New Roman" w:eastAsia="Times New Roman" w:hAnsi="Times New Roman" w:cs="Times New Roman"/>
                <w:bCs/>
                <w:color w:val="000000"/>
                <w:sz w:val="20"/>
                <w:szCs w:val="20"/>
              </w:rPr>
            </w:pPr>
            <w:r w:rsidRPr="00894860">
              <w:rPr>
                <w:rFonts w:ascii="Times New Roman" w:eastAsia="Times New Roman" w:hAnsi="Times New Roman" w:cs="Times New Roman"/>
                <w:bCs/>
                <w:color w:val="000000"/>
                <w:sz w:val="20"/>
                <w:szCs w:val="20"/>
              </w:rPr>
              <w:t>45 (1,2)</w:t>
            </w:r>
          </w:p>
        </w:tc>
        <w:tc>
          <w:tcPr>
            <w:tcW w:w="1718" w:type="dxa"/>
            <w:shd w:val="clear" w:color="auto" w:fill="auto"/>
          </w:tcPr>
          <w:p w14:paraId="508B3541" w14:textId="77777777" w:rsidR="00163021" w:rsidRPr="00894860" w:rsidRDefault="00163021" w:rsidP="00673108">
            <w:pPr>
              <w:spacing w:after="0" w:line="240" w:lineRule="auto"/>
              <w:jc w:val="center"/>
              <w:rPr>
                <w:rFonts w:ascii="Times New Roman" w:eastAsia="Times New Roman" w:hAnsi="Times New Roman" w:cs="Times New Roman"/>
                <w:bCs/>
                <w:color w:val="000000"/>
                <w:sz w:val="20"/>
                <w:szCs w:val="20"/>
              </w:rPr>
            </w:pPr>
            <w:r w:rsidRPr="00894860">
              <w:rPr>
                <w:rFonts w:ascii="Times New Roman" w:hAnsi="Times New Roman" w:cs="Times New Roman"/>
                <w:color w:val="000000"/>
                <w:sz w:val="20"/>
                <w:szCs w:val="20"/>
              </w:rPr>
              <w:t>July, 2020</w:t>
            </w:r>
          </w:p>
        </w:tc>
        <w:tc>
          <w:tcPr>
            <w:tcW w:w="1048" w:type="dxa"/>
            <w:shd w:val="clear" w:color="auto" w:fill="auto"/>
            <w:noWrap/>
          </w:tcPr>
          <w:p w14:paraId="0786DDB3" w14:textId="77777777" w:rsidR="00163021" w:rsidRPr="00894860" w:rsidRDefault="00163021" w:rsidP="00673108">
            <w:pPr>
              <w:jc w:val="center"/>
              <w:rPr>
                <w:rFonts w:ascii="Times New Roman" w:eastAsia="Times New Roman" w:hAnsi="Times New Roman" w:cs="Times New Roman"/>
                <w:bCs/>
                <w:color w:val="000000"/>
                <w:sz w:val="20"/>
                <w:szCs w:val="20"/>
              </w:rPr>
            </w:pPr>
            <w:r w:rsidRPr="00894860">
              <w:rPr>
                <w:rFonts w:ascii="Times New Roman" w:eastAsia="Times New Roman" w:hAnsi="Times New Roman" w:cs="Times New Roman"/>
                <w:bCs/>
                <w:color w:val="000000"/>
                <w:sz w:val="20"/>
                <w:szCs w:val="20"/>
              </w:rPr>
              <w:t>201-206</w:t>
            </w:r>
          </w:p>
        </w:tc>
        <w:tc>
          <w:tcPr>
            <w:tcW w:w="1377" w:type="dxa"/>
            <w:shd w:val="clear" w:color="auto" w:fill="auto"/>
            <w:noWrap/>
          </w:tcPr>
          <w:p w14:paraId="5BF3E2C2" w14:textId="77777777" w:rsidR="00163021" w:rsidRPr="00894860" w:rsidRDefault="00163021" w:rsidP="00673108">
            <w:pPr>
              <w:jc w:val="center"/>
              <w:rPr>
                <w:rFonts w:ascii="Times New Roman" w:hAnsi="Times New Roman" w:cs="Times New Roman"/>
                <w:color w:val="000000"/>
                <w:sz w:val="20"/>
                <w:szCs w:val="20"/>
              </w:rPr>
            </w:pPr>
            <w:r w:rsidRPr="00894860">
              <w:rPr>
                <w:rFonts w:ascii="Times New Roman" w:hAnsi="Times New Roman" w:cs="Times New Roman"/>
                <w:color w:val="000000"/>
                <w:sz w:val="20"/>
                <w:szCs w:val="20"/>
              </w:rPr>
              <w:t>Sage</w:t>
            </w:r>
          </w:p>
          <w:p w14:paraId="364F184D" w14:textId="77777777" w:rsidR="00163021" w:rsidRPr="00894860" w:rsidRDefault="00163021" w:rsidP="00673108">
            <w:pPr>
              <w:jc w:val="center"/>
              <w:rPr>
                <w:rFonts w:ascii="Times New Roman" w:eastAsia="Times New Roman" w:hAnsi="Times New Roman" w:cs="Times New Roman"/>
                <w:bCs/>
                <w:color w:val="000000"/>
                <w:sz w:val="20"/>
                <w:szCs w:val="20"/>
              </w:rPr>
            </w:pPr>
          </w:p>
        </w:tc>
        <w:tc>
          <w:tcPr>
            <w:tcW w:w="1801" w:type="dxa"/>
            <w:shd w:val="clear" w:color="auto" w:fill="auto"/>
            <w:noWrap/>
          </w:tcPr>
          <w:p w14:paraId="13640410" w14:textId="77777777" w:rsidR="00163021" w:rsidRPr="00894860" w:rsidRDefault="00163021" w:rsidP="0067310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Q4</w:t>
            </w:r>
          </w:p>
        </w:tc>
      </w:tr>
    </w:tbl>
    <w:p w14:paraId="318D859E"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3021"/>
    <w:rsid w:val="00163021"/>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4981"/>
  <w15:chartTrackingRefBased/>
  <w15:docId w15:val="{2195FE4D-8FE6-4921-9F37-D797966B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021"/>
    <w:rPr>
      <w:color w:val="0000FF"/>
      <w:u w:val="single"/>
    </w:rPr>
  </w:style>
  <w:style w:type="character" w:customStyle="1" w:styleId="kwd">
    <w:name w:val="kwd"/>
    <w:basedOn w:val="DefaultParagraphFont"/>
    <w:rsid w:val="0016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keyword/Electrophilicity+Index" TargetMode="External"/><Relationship Id="rId3" Type="http://schemas.openxmlformats.org/officeDocument/2006/relationships/webSettings" Target="webSettings.xml"/><Relationship Id="rId7" Type="http://schemas.openxmlformats.org/officeDocument/2006/relationships/hyperlink" Target="https://journals.sagepub.com/keyword/Electrophilicity+Equalization+Princip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keyword/Effective+Nuclear+Charge" TargetMode="External"/><Relationship Id="rId11" Type="http://schemas.openxmlformats.org/officeDocument/2006/relationships/fontTable" Target="fontTable.xml"/><Relationship Id="rId5" Type="http://schemas.openxmlformats.org/officeDocument/2006/relationships/hyperlink" Target="https://journals.sagepub.com/keyword/Conceptual+Density+Functional+Theory" TargetMode="External"/><Relationship Id="rId10" Type="http://schemas.openxmlformats.org/officeDocument/2006/relationships/hyperlink" Target="https://journals.sagepub.com/keyword/Periodic+Descriptor" TargetMode="External"/><Relationship Id="rId4" Type="http://schemas.openxmlformats.org/officeDocument/2006/relationships/hyperlink" Target="https://journals.sagepub.com/keyword/Absolute+Radius" TargetMode="External"/><Relationship Id="rId9" Type="http://schemas.openxmlformats.org/officeDocument/2006/relationships/hyperlink" Target="https://journals.sagepub.com/keyword/Nucleophilicit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2022-05-18T10:47:00Z</dcterms:created>
  <dcterms:modified xsi:type="dcterms:W3CDTF">2022-05-18T10:47:00Z</dcterms:modified>
</cp:coreProperties>
</file>