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52AEC" w14:textId="77777777" w:rsidR="00B001FF" w:rsidRDefault="00B001FF" w:rsidP="00B001FF">
      <w:pPr>
        <w:spacing w:after="0" w:line="240" w:lineRule="auto"/>
        <w:rPr>
          <w:rFonts w:ascii="Times New Roman" w:hAnsi="Times New Roman" w:cs="Times New Roman"/>
          <w:b/>
        </w:rPr>
      </w:pPr>
      <w:r w:rsidRPr="00AB4E57">
        <w:rPr>
          <w:rFonts w:ascii="Times New Roman" w:hAnsi="Times New Roman" w:cs="Times New Roman"/>
          <w:b/>
        </w:rPr>
        <w:t>Paper No: PU-SOE-CHE-06</w:t>
      </w:r>
    </w:p>
    <w:p w14:paraId="45DC4CD7" w14:textId="77777777" w:rsidR="00B001FF" w:rsidRPr="0038309B" w:rsidRDefault="00B001FF" w:rsidP="00B001FF">
      <w:pPr>
        <w:spacing w:after="0" w:line="240" w:lineRule="auto"/>
        <w:rPr>
          <w:rFonts w:ascii="Times New Roman" w:hAnsi="Times New Roman" w:cs="Times New Roman"/>
          <w:b/>
          <w:sz w:val="6"/>
        </w:rPr>
      </w:pPr>
    </w:p>
    <w:p w14:paraId="2F7CBB48" w14:textId="77777777" w:rsidR="00B001FF" w:rsidRPr="0038309B" w:rsidRDefault="00B001FF" w:rsidP="00B001FF">
      <w:pPr>
        <w:spacing w:after="0" w:line="240" w:lineRule="auto"/>
        <w:rPr>
          <w:rFonts w:ascii="Times New Roman" w:eastAsia="Times New Roman" w:hAnsi="Times New Roman" w:cs="Times New Roman"/>
          <w:b/>
        </w:rPr>
      </w:pPr>
      <w:r w:rsidRPr="0038309B">
        <w:rPr>
          <w:rFonts w:ascii="Times New Roman" w:eastAsia="Times New Roman" w:hAnsi="Times New Roman" w:cs="Times New Roman"/>
          <w:b/>
        </w:rPr>
        <w:t>A Sca</w:t>
      </w:r>
      <w:r>
        <w:rPr>
          <w:rFonts w:ascii="Times New Roman" w:eastAsia="Times New Roman" w:hAnsi="Times New Roman" w:cs="Times New Roman"/>
          <w:b/>
        </w:rPr>
        <w:t>le of Atomic Electronegativity in Terms o</w:t>
      </w:r>
      <w:r w:rsidRPr="0038309B">
        <w:rPr>
          <w:rFonts w:ascii="Times New Roman" w:eastAsia="Times New Roman" w:hAnsi="Times New Roman" w:cs="Times New Roman"/>
          <w:b/>
        </w:rPr>
        <w:t>f Atomic Nucleophilicity Index</w:t>
      </w:r>
    </w:p>
    <w:p w14:paraId="5F299790" w14:textId="77777777" w:rsidR="00B001FF" w:rsidRPr="007068D8" w:rsidRDefault="00B001FF" w:rsidP="00B001FF">
      <w:pPr>
        <w:spacing w:after="0" w:line="240" w:lineRule="auto"/>
        <w:rPr>
          <w:rFonts w:ascii="Times New Roman" w:eastAsia="Times New Roman" w:hAnsi="Times New Roman" w:cs="Times New Roman"/>
          <w:sz w:val="6"/>
        </w:rPr>
      </w:pPr>
    </w:p>
    <w:p w14:paraId="59A86A6B" w14:textId="77777777" w:rsidR="00B001FF" w:rsidRPr="0038309B" w:rsidRDefault="00B001FF" w:rsidP="00B001FF">
      <w:pPr>
        <w:spacing w:after="0" w:line="240" w:lineRule="auto"/>
        <w:rPr>
          <w:rFonts w:ascii="Times New Roman" w:eastAsia="Times New Roman" w:hAnsi="Times New Roman" w:cs="Times New Roman"/>
          <w:sz w:val="16"/>
          <w:szCs w:val="16"/>
          <w:vertAlign w:val="superscript"/>
        </w:rPr>
      </w:pPr>
      <w:r w:rsidRPr="0038309B">
        <w:rPr>
          <w:rFonts w:ascii="Times New Roman" w:eastAsia="Times New Roman" w:hAnsi="Times New Roman" w:cs="Times New Roman"/>
          <w:sz w:val="16"/>
          <w:szCs w:val="16"/>
        </w:rPr>
        <w:t xml:space="preserve">H. </w:t>
      </w:r>
      <w:proofErr w:type="spellStart"/>
      <w:r w:rsidRPr="0038309B">
        <w:rPr>
          <w:rFonts w:ascii="Times New Roman" w:eastAsia="Times New Roman" w:hAnsi="Times New Roman" w:cs="Times New Roman"/>
          <w:sz w:val="16"/>
          <w:szCs w:val="16"/>
        </w:rPr>
        <w:t>Tandon</w:t>
      </w:r>
      <w:r w:rsidRPr="0038309B">
        <w:rPr>
          <w:rFonts w:ascii="Times New Roman" w:eastAsia="Times New Roman" w:hAnsi="Times New Roman" w:cs="Times New Roman"/>
          <w:sz w:val="16"/>
          <w:szCs w:val="16"/>
          <w:vertAlign w:val="superscript"/>
        </w:rPr>
        <w:t>a</w:t>
      </w:r>
      <w:proofErr w:type="spellEnd"/>
      <w:r w:rsidRPr="0038309B">
        <w:rPr>
          <w:rFonts w:ascii="Times New Roman" w:eastAsia="Times New Roman" w:hAnsi="Times New Roman" w:cs="Times New Roman"/>
          <w:sz w:val="16"/>
          <w:szCs w:val="16"/>
        </w:rPr>
        <w:t xml:space="preserve">, </w:t>
      </w:r>
      <w:r w:rsidRPr="0038309B">
        <w:rPr>
          <w:rFonts w:ascii="Times New Roman" w:eastAsia="Times New Roman" w:hAnsi="Times New Roman" w:cs="Times New Roman"/>
          <w:b/>
          <w:bCs/>
          <w:sz w:val="16"/>
          <w:szCs w:val="16"/>
        </w:rPr>
        <w:t xml:space="preserve">Tanmoy </w:t>
      </w:r>
      <w:proofErr w:type="spellStart"/>
      <w:proofErr w:type="gramStart"/>
      <w:r w:rsidRPr="0038309B">
        <w:rPr>
          <w:rFonts w:ascii="Times New Roman" w:eastAsia="Times New Roman" w:hAnsi="Times New Roman" w:cs="Times New Roman"/>
          <w:b/>
          <w:bCs/>
          <w:sz w:val="16"/>
          <w:szCs w:val="16"/>
        </w:rPr>
        <w:t>Chakraborty</w:t>
      </w:r>
      <w:r w:rsidRPr="0038309B">
        <w:rPr>
          <w:rFonts w:ascii="Times New Roman" w:eastAsia="Times New Roman" w:hAnsi="Times New Roman" w:cs="Times New Roman"/>
          <w:b/>
          <w:bCs/>
          <w:sz w:val="16"/>
          <w:szCs w:val="16"/>
          <w:vertAlign w:val="superscript"/>
        </w:rPr>
        <w:t>b,c</w:t>
      </w:r>
      <w:proofErr w:type="spellEnd"/>
      <w:proofErr w:type="gramEnd"/>
      <w:r w:rsidRPr="0038309B">
        <w:rPr>
          <w:rFonts w:ascii="Times New Roman" w:eastAsia="Times New Roman" w:hAnsi="Times New Roman" w:cs="Times New Roman"/>
          <w:sz w:val="16"/>
          <w:szCs w:val="16"/>
        </w:rPr>
        <w:t xml:space="preserve">, V. </w:t>
      </w:r>
      <w:proofErr w:type="spellStart"/>
      <w:r w:rsidRPr="0038309B">
        <w:rPr>
          <w:rFonts w:ascii="Times New Roman" w:eastAsia="Times New Roman" w:hAnsi="Times New Roman" w:cs="Times New Roman"/>
          <w:sz w:val="16"/>
          <w:szCs w:val="16"/>
        </w:rPr>
        <w:t>Suhag</w:t>
      </w:r>
      <w:r w:rsidRPr="0038309B">
        <w:rPr>
          <w:rFonts w:ascii="Times New Roman" w:eastAsia="Times New Roman" w:hAnsi="Times New Roman" w:cs="Times New Roman"/>
          <w:sz w:val="16"/>
          <w:szCs w:val="16"/>
          <w:vertAlign w:val="superscript"/>
        </w:rPr>
        <w:t>d</w:t>
      </w:r>
      <w:proofErr w:type="spellEnd"/>
    </w:p>
    <w:p w14:paraId="2D07756C" w14:textId="77777777" w:rsidR="00B001FF" w:rsidRPr="0038309B" w:rsidRDefault="00B001FF" w:rsidP="00B001FF">
      <w:pPr>
        <w:spacing w:after="0" w:line="240" w:lineRule="auto"/>
        <w:rPr>
          <w:rFonts w:ascii="Times New Roman" w:hAnsi="Times New Roman" w:cs="Times New Roman"/>
          <w:color w:val="333333"/>
          <w:sz w:val="16"/>
          <w:szCs w:val="16"/>
          <w:shd w:val="clear" w:color="auto" w:fill="FFFFFF"/>
        </w:rPr>
      </w:pPr>
      <w:r w:rsidRPr="0038309B">
        <w:rPr>
          <w:rFonts w:ascii="Times New Roman" w:hAnsi="Times New Roman" w:cs="Times New Roman"/>
          <w:color w:val="333333"/>
          <w:sz w:val="16"/>
          <w:szCs w:val="16"/>
          <w:shd w:val="clear" w:color="auto" w:fill="FFFFFF"/>
          <w:vertAlign w:val="superscript"/>
        </w:rPr>
        <w:t>a.</w:t>
      </w:r>
      <w:r w:rsidRPr="0038309B">
        <w:rPr>
          <w:rFonts w:ascii="Times New Roman" w:hAnsi="Times New Roman" w:cs="Times New Roman"/>
          <w:color w:val="333333"/>
          <w:sz w:val="16"/>
          <w:szCs w:val="16"/>
          <w:shd w:val="clear" w:color="auto" w:fill="FFFFFF"/>
        </w:rPr>
        <w:t xml:space="preserve"> Department of Chemistry, Manipal University Jaipur, Jaipur, 303007, India</w:t>
      </w:r>
    </w:p>
    <w:p w14:paraId="12306EF4" w14:textId="77777777" w:rsidR="00B001FF" w:rsidRPr="0038309B" w:rsidRDefault="00B001FF" w:rsidP="00B001FF">
      <w:pPr>
        <w:spacing w:after="0" w:line="240" w:lineRule="auto"/>
        <w:rPr>
          <w:rFonts w:ascii="Times New Roman" w:eastAsia="Times New Roman" w:hAnsi="Times New Roman" w:cs="Times New Roman"/>
          <w:color w:val="333333"/>
          <w:sz w:val="16"/>
          <w:szCs w:val="16"/>
        </w:rPr>
      </w:pPr>
      <w:r w:rsidRPr="0038309B">
        <w:rPr>
          <w:rFonts w:ascii="Times New Roman" w:eastAsia="Times New Roman" w:hAnsi="Times New Roman" w:cs="Times New Roman"/>
          <w:color w:val="333333"/>
          <w:sz w:val="16"/>
          <w:szCs w:val="16"/>
          <w:vertAlign w:val="superscript"/>
        </w:rPr>
        <w:t>b</w:t>
      </w:r>
      <w:r w:rsidRPr="0038309B">
        <w:rPr>
          <w:rFonts w:ascii="Times New Roman" w:eastAsia="Times New Roman" w:hAnsi="Times New Roman" w:cs="Times New Roman"/>
          <w:color w:val="333333"/>
          <w:sz w:val="16"/>
          <w:szCs w:val="16"/>
        </w:rPr>
        <w:t>. Department of Chemistry, Manipal University Jaipur, Jaipur, 303007, India</w:t>
      </w:r>
    </w:p>
    <w:p w14:paraId="671D3B63" w14:textId="77777777" w:rsidR="00B001FF" w:rsidRPr="0038309B" w:rsidRDefault="00B001FF" w:rsidP="00B001FF">
      <w:pPr>
        <w:spacing w:after="0" w:line="240" w:lineRule="auto"/>
        <w:rPr>
          <w:rFonts w:ascii="Times New Roman" w:eastAsia="Times New Roman" w:hAnsi="Times New Roman" w:cs="Times New Roman"/>
          <w:b/>
          <w:color w:val="333333"/>
          <w:sz w:val="16"/>
          <w:szCs w:val="16"/>
        </w:rPr>
      </w:pPr>
      <w:r w:rsidRPr="0038309B">
        <w:rPr>
          <w:rFonts w:ascii="Times New Roman" w:eastAsia="Times New Roman" w:hAnsi="Times New Roman" w:cs="Times New Roman"/>
          <w:b/>
          <w:color w:val="333333"/>
          <w:sz w:val="16"/>
          <w:szCs w:val="16"/>
          <w:vertAlign w:val="superscript"/>
        </w:rPr>
        <w:t>c.</w:t>
      </w:r>
      <w:r w:rsidRPr="0038309B">
        <w:rPr>
          <w:rFonts w:ascii="Times New Roman" w:eastAsia="Times New Roman" w:hAnsi="Times New Roman" w:cs="Times New Roman"/>
          <w:b/>
          <w:color w:val="333333"/>
          <w:sz w:val="16"/>
          <w:szCs w:val="16"/>
        </w:rPr>
        <w:t xml:space="preserve"> Department of Chemistry, School of Engineering, Presidency University, Bengaluru, 560064, India</w:t>
      </w:r>
    </w:p>
    <w:p w14:paraId="677C405F" w14:textId="77777777" w:rsidR="00B001FF" w:rsidRPr="0038309B" w:rsidRDefault="00B001FF" w:rsidP="00B001FF">
      <w:pPr>
        <w:spacing w:after="0" w:line="240" w:lineRule="auto"/>
        <w:rPr>
          <w:rFonts w:ascii="Times New Roman" w:eastAsia="Times New Roman" w:hAnsi="Times New Roman" w:cs="Times New Roman"/>
          <w:color w:val="333333"/>
          <w:sz w:val="16"/>
          <w:szCs w:val="16"/>
        </w:rPr>
      </w:pPr>
      <w:r w:rsidRPr="0038309B">
        <w:rPr>
          <w:rFonts w:ascii="Times New Roman" w:hAnsi="Times New Roman" w:cs="Times New Roman"/>
          <w:color w:val="333333"/>
          <w:sz w:val="16"/>
          <w:szCs w:val="16"/>
          <w:shd w:val="clear" w:color="auto" w:fill="FFFFFF"/>
          <w:vertAlign w:val="superscript"/>
        </w:rPr>
        <w:t>d</w:t>
      </w:r>
      <w:r w:rsidRPr="0038309B">
        <w:rPr>
          <w:rFonts w:ascii="Times New Roman" w:hAnsi="Times New Roman" w:cs="Times New Roman"/>
          <w:color w:val="333333"/>
          <w:sz w:val="16"/>
          <w:szCs w:val="16"/>
          <w:shd w:val="clear" w:color="auto" w:fill="FFFFFF"/>
        </w:rPr>
        <w:t xml:space="preserve">. </w:t>
      </w:r>
      <w:r w:rsidRPr="0038309B">
        <w:rPr>
          <w:rFonts w:ascii="Times New Roman" w:eastAsia="Times New Roman" w:hAnsi="Times New Roman" w:cs="Times New Roman"/>
          <w:color w:val="333333"/>
          <w:sz w:val="16"/>
          <w:szCs w:val="16"/>
        </w:rPr>
        <w:t>Department of Applied Sciences, BML Munjal University, Gurugram, 122413, India</w:t>
      </w:r>
    </w:p>
    <w:p w14:paraId="24BE5C92" w14:textId="77777777" w:rsidR="00B001FF" w:rsidRPr="00827CB9" w:rsidRDefault="00B001FF" w:rsidP="00B001FF">
      <w:pPr>
        <w:spacing w:after="0" w:line="240" w:lineRule="auto"/>
        <w:rPr>
          <w:rFonts w:ascii="Times New Roman" w:eastAsia="Times New Roman" w:hAnsi="Times New Roman" w:cs="Times New Roman"/>
          <w:sz w:val="10"/>
        </w:rPr>
      </w:pPr>
    </w:p>
    <w:p w14:paraId="35F221A2" w14:textId="77777777" w:rsidR="00B001FF" w:rsidRPr="0038309B" w:rsidRDefault="00B001FF" w:rsidP="00B001FF">
      <w:pPr>
        <w:spacing w:after="0" w:line="240" w:lineRule="auto"/>
        <w:jc w:val="center"/>
        <w:rPr>
          <w:rFonts w:ascii="Times New Roman" w:hAnsi="Times New Roman" w:cs="Times New Roman"/>
          <w:b/>
        </w:rPr>
      </w:pPr>
      <w:r w:rsidRPr="0038309B">
        <w:rPr>
          <w:rFonts w:ascii="Times New Roman" w:hAnsi="Times New Roman" w:cs="Times New Roman"/>
          <w:b/>
        </w:rPr>
        <w:t>Abstract</w:t>
      </w:r>
    </w:p>
    <w:p w14:paraId="25012077" w14:textId="77777777" w:rsidR="00B001FF" w:rsidRPr="0038309B" w:rsidRDefault="00B001FF" w:rsidP="00B001FF">
      <w:pPr>
        <w:spacing w:after="0" w:line="240" w:lineRule="auto"/>
        <w:jc w:val="center"/>
        <w:rPr>
          <w:rFonts w:ascii="Times New Roman" w:hAnsi="Times New Roman" w:cs="Times New Roman"/>
          <w:b/>
          <w:color w:val="FF0000"/>
          <w:sz w:val="6"/>
        </w:rPr>
      </w:pPr>
    </w:p>
    <w:p w14:paraId="37473C30" w14:textId="77777777" w:rsidR="00B001FF" w:rsidRPr="0038309B" w:rsidRDefault="00B001FF" w:rsidP="00B001FF">
      <w:pPr>
        <w:spacing w:after="0"/>
        <w:jc w:val="both"/>
        <w:rPr>
          <w:rFonts w:ascii="Times New Roman" w:hAnsi="Times New Roman" w:cs="Times New Roman"/>
          <w:sz w:val="20"/>
        </w:rPr>
      </w:pPr>
      <w:r w:rsidRPr="0038309B">
        <w:rPr>
          <w:rFonts w:ascii="Times New Roman" w:hAnsi="Times New Roman" w:cs="Times New Roman"/>
          <w:sz w:val="20"/>
        </w:rPr>
        <w:t xml:space="preserve">Electronegativity (χ) is an important </w:t>
      </w:r>
      <w:proofErr w:type="spellStart"/>
      <w:r w:rsidRPr="0038309B">
        <w:rPr>
          <w:rFonts w:ascii="Times New Roman" w:hAnsi="Times New Roman" w:cs="Times New Roman"/>
          <w:sz w:val="20"/>
        </w:rPr>
        <w:t>physico</w:t>
      </w:r>
      <w:proofErr w:type="spellEnd"/>
      <w:r w:rsidRPr="0038309B">
        <w:rPr>
          <w:rFonts w:ascii="Times New Roman" w:hAnsi="Times New Roman" w:cs="Times New Roman"/>
          <w:sz w:val="20"/>
        </w:rPr>
        <w:t>-chemical concept to study the chemical structure and reactivity. Although, the conundrum related to measurement of electronegativity still persists. In view of this fact, a simple yet rigorous scale of electronegativity (χ), invoking an inverse relationship with atomic nucleophilicity index (N), has been proposed for 103 elements of the periodic table. The computed data follows periodicity distinctly satisfying all the sine qua non of a standard scale of electronegativity. Further, electronegativity values display a sound similarity with the standard electronegativity scales validating the suitability of the proposed model. Molecular electronegativities of some polyatomic molecules have also been calculated using the proposed scale of electronegativity.</w:t>
      </w:r>
    </w:p>
    <w:p w14:paraId="42DCD7CD" w14:textId="77777777" w:rsidR="00B001FF" w:rsidRPr="0038309B" w:rsidRDefault="00B001FF" w:rsidP="00B001FF">
      <w:pPr>
        <w:spacing w:after="0" w:line="240" w:lineRule="auto"/>
        <w:jc w:val="both"/>
        <w:rPr>
          <w:rFonts w:ascii="Times New Roman" w:hAnsi="Times New Roman" w:cs="Times New Roman"/>
          <w:b/>
        </w:rPr>
      </w:pPr>
      <w:r>
        <w:rPr>
          <w:rFonts w:ascii="Times New Roman" w:hAnsi="Times New Roman" w:cs="Times New Roman"/>
          <w:b/>
        </w:rPr>
        <w:t>Keywords:</w:t>
      </w:r>
    </w:p>
    <w:p w14:paraId="2D4FAF90" w14:textId="77777777" w:rsidR="00B001FF" w:rsidRPr="001C6095" w:rsidRDefault="00B001FF" w:rsidP="00B001FF">
      <w:pPr>
        <w:spacing w:after="0" w:line="240" w:lineRule="auto"/>
        <w:jc w:val="both"/>
        <w:rPr>
          <w:rFonts w:ascii="Times New Roman" w:eastAsia="Times New Roman" w:hAnsi="Times New Roman" w:cs="Times New Roman"/>
        </w:rPr>
      </w:pPr>
      <w:r w:rsidRPr="0038309B">
        <w:rPr>
          <w:rFonts w:ascii="Times New Roman" w:eastAsia="Times New Roman" w:hAnsi="Times New Roman" w:cs="Times New Roman"/>
          <w:sz w:val="20"/>
        </w:rPr>
        <w:t>Conceptual density functional theory (CDFT), Chemical reactivity descriptor, Empirical approach, Periodicity, Electronegativity equalization principle, Silicon rule</w:t>
      </w:r>
      <w:r>
        <w:rPr>
          <w:rFonts w:ascii="Times New Roman" w:eastAsia="Times New Roman" w:hAnsi="Times New Roman" w:cs="Times New Roman"/>
        </w:rPr>
        <w:t>.</w:t>
      </w:r>
    </w:p>
    <w:p w14:paraId="650EE3DA" w14:textId="77777777" w:rsidR="00B001FF" w:rsidRPr="0038309B" w:rsidRDefault="00B001FF" w:rsidP="00B001FF">
      <w:pPr>
        <w:tabs>
          <w:tab w:val="center" w:pos="4680"/>
        </w:tabs>
        <w:spacing w:line="240" w:lineRule="auto"/>
        <w:rPr>
          <w:rFonts w:ascii="Times New Roman" w:hAnsi="Times New Roman" w:cs="Times New Roman"/>
          <w:b/>
          <w:vertAlign w:val="superscript"/>
        </w:rPr>
      </w:pPr>
      <w:r>
        <w:rPr>
          <w:rFonts w:ascii="Times New Roman" w:hAnsi="Times New Roman" w:cs="Times New Roman"/>
          <w:b/>
        </w:rPr>
        <w:t>Publication Details:</w:t>
      </w:r>
    </w:p>
    <w:tbl>
      <w:tblPr>
        <w:tblW w:w="9450" w:type="dxa"/>
        <w:tblLayout w:type="fixed"/>
        <w:tblLook w:val="04A0" w:firstRow="1" w:lastRow="0" w:firstColumn="1" w:lastColumn="0" w:noHBand="0" w:noVBand="1"/>
      </w:tblPr>
      <w:tblGrid>
        <w:gridCol w:w="2430"/>
        <w:gridCol w:w="1080"/>
        <w:gridCol w:w="1717"/>
        <w:gridCol w:w="1047"/>
        <w:gridCol w:w="1376"/>
        <w:gridCol w:w="1800"/>
      </w:tblGrid>
      <w:tr w:rsidR="00B001FF" w:rsidRPr="000C16AF" w14:paraId="766181DF" w14:textId="77777777" w:rsidTr="00673108">
        <w:trPr>
          <w:trHeight w:val="378"/>
        </w:trPr>
        <w:tc>
          <w:tcPr>
            <w:tcW w:w="2430" w:type="dxa"/>
            <w:shd w:val="clear" w:color="auto" w:fill="auto"/>
            <w:noWrap/>
            <w:hideMark/>
          </w:tcPr>
          <w:p w14:paraId="07481969" w14:textId="77777777" w:rsidR="00B001FF" w:rsidRPr="0038309B" w:rsidRDefault="00B001FF" w:rsidP="00673108">
            <w:pPr>
              <w:spacing w:after="0" w:line="240" w:lineRule="auto"/>
              <w:jc w:val="center"/>
              <w:rPr>
                <w:rFonts w:ascii="Times New Roman" w:eastAsia="Times New Roman" w:hAnsi="Times New Roman" w:cs="Times New Roman"/>
                <w:b/>
                <w:bCs/>
                <w:sz w:val="20"/>
              </w:rPr>
            </w:pPr>
            <w:r w:rsidRPr="0038309B">
              <w:rPr>
                <w:rFonts w:ascii="Times New Roman" w:eastAsia="Times New Roman" w:hAnsi="Times New Roman" w:cs="Times New Roman"/>
                <w:b/>
                <w:bCs/>
                <w:sz w:val="20"/>
              </w:rPr>
              <w:t>Journal Name</w:t>
            </w:r>
          </w:p>
        </w:tc>
        <w:tc>
          <w:tcPr>
            <w:tcW w:w="1080" w:type="dxa"/>
            <w:shd w:val="clear" w:color="auto" w:fill="auto"/>
            <w:noWrap/>
            <w:hideMark/>
          </w:tcPr>
          <w:p w14:paraId="7403843E" w14:textId="77777777" w:rsidR="00B001FF" w:rsidRPr="0038309B" w:rsidRDefault="00B001FF" w:rsidP="00673108">
            <w:pPr>
              <w:spacing w:after="0" w:line="240" w:lineRule="auto"/>
              <w:jc w:val="center"/>
              <w:rPr>
                <w:rFonts w:ascii="Times New Roman" w:eastAsia="Times New Roman" w:hAnsi="Times New Roman" w:cs="Times New Roman"/>
                <w:b/>
                <w:bCs/>
                <w:sz w:val="20"/>
              </w:rPr>
            </w:pPr>
            <w:r w:rsidRPr="0038309B">
              <w:rPr>
                <w:rFonts w:ascii="Times New Roman" w:eastAsia="Times New Roman" w:hAnsi="Times New Roman" w:cs="Times New Roman"/>
                <w:b/>
                <w:bCs/>
                <w:sz w:val="20"/>
              </w:rPr>
              <w:t>Vol.</w:t>
            </w:r>
          </w:p>
        </w:tc>
        <w:tc>
          <w:tcPr>
            <w:tcW w:w="1717" w:type="dxa"/>
            <w:shd w:val="clear" w:color="auto" w:fill="auto"/>
            <w:hideMark/>
          </w:tcPr>
          <w:p w14:paraId="45F53A15" w14:textId="77777777" w:rsidR="00B001FF" w:rsidRPr="0038309B" w:rsidRDefault="00B001FF" w:rsidP="00673108">
            <w:pPr>
              <w:spacing w:after="0" w:line="240" w:lineRule="auto"/>
              <w:jc w:val="center"/>
              <w:rPr>
                <w:rFonts w:ascii="Times New Roman" w:eastAsia="Times New Roman" w:hAnsi="Times New Roman" w:cs="Times New Roman"/>
                <w:b/>
                <w:bCs/>
                <w:sz w:val="20"/>
              </w:rPr>
            </w:pPr>
            <w:r w:rsidRPr="0038309B">
              <w:rPr>
                <w:rFonts w:ascii="Times New Roman" w:eastAsia="Times New Roman" w:hAnsi="Times New Roman" w:cs="Times New Roman"/>
                <w:b/>
                <w:bCs/>
                <w:sz w:val="20"/>
              </w:rPr>
              <w:t xml:space="preserve">Month </w:t>
            </w:r>
            <w:proofErr w:type="gramStart"/>
            <w:r w:rsidRPr="0038309B">
              <w:rPr>
                <w:rFonts w:ascii="Times New Roman" w:eastAsia="Times New Roman" w:hAnsi="Times New Roman" w:cs="Times New Roman"/>
                <w:b/>
                <w:bCs/>
                <w:sz w:val="20"/>
              </w:rPr>
              <w:t>&amp;  Year</w:t>
            </w:r>
            <w:proofErr w:type="gramEnd"/>
          </w:p>
        </w:tc>
        <w:tc>
          <w:tcPr>
            <w:tcW w:w="1047" w:type="dxa"/>
            <w:shd w:val="clear" w:color="auto" w:fill="auto"/>
            <w:noWrap/>
            <w:hideMark/>
          </w:tcPr>
          <w:p w14:paraId="6BC1FF55" w14:textId="77777777" w:rsidR="00B001FF" w:rsidRPr="0038309B" w:rsidRDefault="00B001FF" w:rsidP="00673108">
            <w:pPr>
              <w:spacing w:after="0" w:line="240" w:lineRule="auto"/>
              <w:jc w:val="center"/>
              <w:rPr>
                <w:rFonts w:ascii="Times New Roman" w:eastAsia="Times New Roman" w:hAnsi="Times New Roman" w:cs="Times New Roman"/>
                <w:b/>
                <w:bCs/>
                <w:sz w:val="20"/>
              </w:rPr>
            </w:pPr>
            <w:r w:rsidRPr="0038309B">
              <w:rPr>
                <w:rFonts w:ascii="Times New Roman" w:eastAsia="Times New Roman" w:hAnsi="Times New Roman" w:cs="Times New Roman"/>
                <w:b/>
                <w:bCs/>
                <w:sz w:val="20"/>
              </w:rPr>
              <w:t>Page No.</w:t>
            </w:r>
          </w:p>
        </w:tc>
        <w:tc>
          <w:tcPr>
            <w:tcW w:w="1376" w:type="dxa"/>
            <w:shd w:val="clear" w:color="auto" w:fill="auto"/>
            <w:noWrap/>
            <w:hideMark/>
          </w:tcPr>
          <w:p w14:paraId="0C6D5991" w14:textId="77777777" w:rsidR="00B001FF" w:rsidRPr="0038309B" w:rsidRDefault="00B001FF" w:rsidP="00673108">
            <w:pPr>
              <w:spacing w:after="0" w:line="240" w:lineRule="auto"/>
              <w:jc w:val="center"/>
              <w:rPr>
                <w:rFonts w:ascii="Times New Roman" w:eastAsia="Times New Roman" w:hAnsi="Times New Roman" w:cs="Times New Roman"/>
                <w:b/>
                <w:bCs/>
                <w:sz w:val="20"/>
              </w:rPr>
            </w:pPr>
            <w:r w:rsidRPr="0038309B">
              <w:rPr>
                <w:rFonts w:ascii="Times New Roman" w:eastAsia="Times New Roman" w:hAnsi="Times New Roman" w:cs="Times New Roman"/>
                <w:b/>
                <w:bCs/>
                <w:sz w:val="20"/>
              </w:rPr>
              <w:t>Publisher</w:t>
            </w:r>
          </w:p>
        </w:tc>
        <w:tc>
          <w:tcPr>
            <w:tcW w:w="1800" w:type="dxa"/>
            <w:shd w:val="clear" w:color="auto" w:fill="auto"/>
            <w:noWrap/>
            <w:hideMark/>
          </w:tcPr>
          <w:p w14:paraId="5A11C28D" w14:textId="77777777" w:rsidR="00B001FF" w:rsidRPr="0038309B" w:rsidRDefault="00B001FF" w:rsidP="00673108">
            <w:pPr>
              <w:spacing w:after="0" w:line="240" w:lineRule="auto"/>
              <w:jc w:val="center"/>
              <w:rPr>
                <w:rFonts w:ascii="Times New Roman" w:eastAsia="Times New Roman" w:hAnsi="Times New Roman" w:cs="Times New Roman"/>
                <w:b/>
                <w:bCs/>
                <w:sz w:val="20"/>
              </w:rPr>
            </w:pPr>
            <w:proofErr w:type="spellStart"/>
            <w:r w:rsidRPr="0038309B">
              <w:rPr>
                <w:rFonts w:ascii="Times New Roman" w:eastAsia="Times New Roman" w:hAnsi="Times New Roman" w:cs="Times New Roman"/>
                <w:b/>
                <w:bCs/>
                <w:sz w:val="20"/>
              </w:rPr>
              <w:t>Scimago</w:t>
            </w:r>
            <w:proofErr w:type="spellEnd"/>
            <w:r w:rsidRPr="0038309B">
              <w:rPr>
                <w:rFonts w:ascii="Times New Roman" w:eastAsia="Times New Roman" w:hAnsi="Times New Roman" w:cs="Times New Roman"/>
                <w:b/>
                <w:bCs/>
                <w:sz w:val="20"/>
              </w:rPr>
              <w:t xml:space="preserve"> Ranking</w:t>
            </w:r>
          </w:p>
        </w:tc>
      </w:tr>
      <w:tr w:rsidR="00B001FF" w:rsidRPr="000C16AF" w14:paraId="26ED9379" w14:textId="77777777" w:rsidTr="00673108">
        <w:trPr>
          <w:trHeight w:val="360"/>
        </w:trPr>
        <w:tc>
          <w:tcPr>
            <w:tcW w:w="2430" w:type="dxa"/>
            <w:shd w:val="clear" w:color="auto" w:fill="auto"/>
            <w:noWrap/>
          </w:tcPr>
          <w:p w14:paraId="15C0425F" w14:textId="77777777" w:rsidR="00B001FF" w:rsidRPr="0038309B" w:rsidRDefault="00B001FF" w:rsidP="00673108">
            <w:pPr>
              <w:jc w:val="center"/>
              <w:rPr>
                <w:rFonts w:ascii="Times New Roman" w:eastAsia="Times New Roman" w:hAnsi="Times New Roman" w:cs="Times New Roman"/>
                <w:b/>
                <w:bCs/>
                <w:sz w:val="20"/>
              </w:rPr>
            </w:pPr>
            <w:r w:rsidRPr="0038309B">
              <w:rPr>
                <w:rFonts w:ascii="Times New Roman" w:hAnsi="Times New Roman" w:cs="Times New Roman"/>
                <w:sz w:val="20"/>
              </w:rPr>
              <w:t>Foundations of Chemistry</w:t>
            </w:r>
          </w:p>
        </w:tc>
        <w:tc>
          <w:tcPr>
            <w:tcW w:w="1080" w:type="dxa"/>
            <w:shd w:val="clear" w:color="auto" w:fill="auto"/>
            <w:noWrap/>
          </w:tcPr>
          <w:p w14:paraId="0BBF01D1" w14:textId="77777777" w:rsidR="00B001FF" w:rsidRPr="001B52FE" w:rsidRDefault="00B001FF" w:rsidP="00673108">
            <w:pPr>
              <w:jc w:val="center"/>
              <w:rPr>
                <w:rFonts w:ascii="Times New Roman" w:eastAsia="Times New Roman" w:hAnsi="Times New Roman" w:cs="Times New Roman"/>
                <w:bCs/>
                <w:sz w:val="20"/>
              </w:rPr>
            </w:pPr>
            <w:r w:rsidRPr="001B52FE">
              <w:rPr>
                <w:rFonts w:ascii="Times New Roman" w:eastAsia="Times New Roman" w:hAnsi="Times New Roman" w:cs="Times New Roman"/>
                <w:bCs/>
                <w:sz w:val="20"/>
              </w:rPr>
              <w:t>Online published</w:t>
            </w:r>
          </w:p>
        </w:tc>
        <w:tc>
          <w:tcPr>
            <w:tcW w:w="1717" w:type="dxa"/>
            <w:shd w:val="clear" w:color="auto" w:fill="auto"/>
          </w:tcPr>
          <w:p w14:paraId="39B57775" w14:textId="77777777" w:rsidR="00B001FF" w:rsidRPr="0038309B" w:rsidRDefault="00B001FF" w:rsidP="00673108">
            <w:pPr>
              <w:jc w:val="center"/>
              <w:rPr>
                <w:rFonts w:ascii="Times New Roman" w:eastAsia="Times New Roman" w:hAnsi="Times New Roman" w:cs="Times New Roman"/>
                <w:bCs/>
                <w:sz w:val="20"/>
              </w:rPr>
            </w:pPr>
            <w:r w:rsidRPr="0038309B">
              <w:rPr>
                <w:rFonts w:ascii="Times New Roman" w:hAnsi="Times New Roman" w:cs="Times New Roman"/>
                <w:sz w:val="20"/>
              </w:rPr>
              <w:t>Jan</w:t>
            </w:r>
            <w:r>
              <w:rPr>
                <w:rFonts w:ascii="Times New Roman" w:hAnsi="Times New Roman" w:cs="Times New Roman"/>
                <w:sz w:val="20"/>
              </w:rPr>
              <w:t xml:space="preserve">. </w:t>
            </w:r>
            <w:r w:rsidRPr="0038309B">
              <w:rPr>
                <w:rFonts w:ascii="Times New Roman" w:hAnsi="Times New Roman" w:cs="Times New Roman"/>
                <w:sz w:val="20"/>
              </w:rPr>
              <w:t>20</w:t>
            </w:r>
            <w:r>
              <w:rPr>
                <w:rFonts w:ascii="Times New Roman" w:hAnsi="Times New Roman" w:cs="Times New Roman"/>
                <w:sz w:val="20"/>
              </w:rPr>
              <w:t>20</w:t>
            </w:r>
          </w:p>
        </w:tc>
        <w:tc>
          <w:tcPr>
            <w:tcW w:w="1047" w:type="dxa"/>
            <w:shd w:val="clear" w:color="auto" w:fill="auto"/>
            <w:noWrap/>
          </w:tcPr>
          <w:p w14:paraId="01B496C1" w14:textId="77777777" w:rsidR="00B001FF" w:rsidRPr="0038309B" w:rsidRDefault="00B001FF" w:rsidP="00673108">
            <w:pPr>
              <w:jc w:val="center"/>
              <w:rPr>
                <w:rFonts w:ascii="Times New Roman" w:eastAsia="Times New Roman" w:hAnsi="Times New Roman" w:cs="Times New Roman"/>
                <w:bCs/>
                <w:sz w:val="20"/>
              </w:rPr>
            </w:pPr>
            <w:r w:rsidRPr="0038309B">
              <w:rPr>
                <w:rFonts w:ascii="Times New Roman" w:hAnsi="Times New Roman" w:cs="Times New Roman"/>
                <w:sz w:val="20"/>
              </w:rPr>
              <w:t>NA</w:t>
            </w:r>
          </w:p>
        </w:tc>
        <w:tc>
          <w:tcPr>
            <w:tcW w:w="1376" w:type="dxa"/>
            <w:shd w:val="clear" w:color="auto" w:fill="auto"/>
            <w:noWrap/>
          </w:tcPr>
          <w:p w14:paraId="08081606" w14:textId="77777777" w:rsidR="00B001FF" w:rsidRPr="0038309B" w:rsidRDefault="00B001FF" w:rsidP="00673108">
            <w:pPr>
              <w:jc w:val="center"/>
              <w:rPr>
                <w:rFonts w:ascii="Times New Roman" w:eastAsia="Times New Roman" w:hAnsi="Times New Roman" w:cs="Times New Roman"/>
                <w:bCs/>
                <w:sz w:val="20"/>
              </w:rPr>
            </w:pPr>
            <w:r w:rsidRPr="0038309B">
              <w:rPr>
                <w:rFonts w:ascii="Times New Roman" w:hAnsi="Times New Roman" w:cs="Times New Roman"/>
                <w:sz w:val="20"/>
              </w:rPr>
              <w:t>Springer</w:t>
            </w:r>
          </w:p>
        </w:tc>
        <w:tc>
          <w:tcPr>
            <w:tcW w:w="1800" w:type="dxa"/>
            <w:shd w:val="clear" w:color="auto" w:fill="auto"/>
            <w:noWrap/>
          </w:tcPr>
          <w:p w14:paraId="3941A898" w14:textId="77777777" w:rsidR="00B001FF" w:rsidRPr="0038309B" w:rsidRDefault="00B001FF" w:rsidP="00673108">
            <w:pPr>
              <w:spacing w:after="0" w:line="240" w:lineRule="auto"/>
              <w:jc w:val="center"/>
              <w:rPr>
                <w:rFonts w:ascii="Times New Roman" w:eastAsia="Times New Roman" w:hAnsi="Times New Roman" w:cs="Times New Roman"/>
                <w:bCs/>
                <w:sz w:val="20"/>
              </w:rPr>
            </w:pPr>
            <w:r w:rsidRPr="0038309B">
              <w:rPr>
                <w:rFonts w:ascii="Times New Roman" w:hAnsi="Times New Roman" w:cs="Times New Roman"/>
                <w:sz w:val="20"/>
              </w:rPr>
              <w:t>Q2</w:t>
            </w:r>
          </w:p>
        </w:tc>
      </w:tr>
    </w:tbl>
    <w:p w14:paraId="033F3F5C" w14:textId="77777777" w:rsidR="00B001FF" w:rsidRPr="005F5B1F" w:rsidRDefault="00B001FF" w:rsidP="00B001FF">
      <w:pPr>
        <w:spacing w:after="0" w:line="240" w:lineRule="auto"/>
        <w:jc w:val="center"/>
        <w:rPr>
          <w:rFonts w:ascii="Times New Roman" w:hAnsi="Times New Roman" w:cs="Times New Roman"/>
          <w:b/>
          <w:sz w:val="2"/>
        </w:rPr>
      </w:pPr>
    </w:p>
    <w:p w14:paraId="2C6E5AF4" w14:textId="77777777" w:rsidR="00B001FF" w:rsidRPr="00A84A2A" w:rsidRDefault="00B001FF" w:rsidP="00B001FF">
      <w:pPr>
        <w:spacing w:after="0" w:line="240" w:lineRule="auto"/>
        <w:jc w:val="both"/>
        <w:rPr>
          <w:rFonts w:ascii="Times New Roman" w:hAnsi="Times New Roman" w:cs="Times New Roman"/>
          <w:b/>
          <w:sz w:val="10"/>
        </w:rPr>
      </w:pPr>
    </w:p>
    <w:p w14:paraId="373793EC" w14:textId="77777777" w:rsidR="00C82B31" w:rsidRDefault="00C82B31"/>
    <w:sectPr w:rsidR="00C82B31" w:rsidSect="00866CE2">
      <w:type w:val="continuous"/>
      <w:pgSz w:w="11920" w:h="16860"/>
      <w:pgMar w:top="840" w:right="1338" w:bottom="278" w:left="133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001FF"/>
    <w:rsid w:val="00866CE2"/>
    <w:rsid w:val="00B001FF"/>
    <w:rsid w:val="00C82B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4E2F4"/>
  <w15:chartTrackingRefBased/>
  <w15:docId w15:val="{B6B32057-EB9E-4420-8E45-A2F5AD74F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1F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1396</Characters>
  <Application>Microsoft Office Word</Application>
  <DocSecurity>0</DocSecurity>
  <Lines>11</Lines>
  <Paragraphs>3</Paragraphs>
  <ScaleCrop>false</ScaleCrop>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Ashoka Ashoka</dc:creator>
  <cp:keywords/>
  <dc:description/>
  <cp:lastModifiedBy>Ashoka Ashoka</cp:lastModifiedBy>
  <cp:revision>1</cp:revision>
  <dcterms:created xsi:type="dcterms:W3CDTF">2022-05-18T10:42:00Z</dcterms:created>
  <dcterms:modified xsi:type="dcterms:W3CDTF">2022-05-18T10:43:00Z</dcterms:modified>
</cp:coreProperties>
</file>