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FAD7" w14:textId="77777777" w:rsidR="00AF0A05" w:rsidRPr="00903813" w:rsidRDefault="00AF0A05" w:rsidP="00AF0A05">
      <w:pPr>
        <w:rPr>
          <w:rFonts w:ascii="Times New Roman" w:hAnsi="Times New Roman" w:cs="Times New Roman"/>
          <w:b/>
        </w:rPr>
      </w:pPr>
      <w:r w:rsidRPr="00273020">
        <w:rPr>
          <w:rFonts w:ascii="Times New Roman" w:hAnsi="Times New Roman" w:cs="Times New Roman"/>
          <w:b/>
        </w:rPr>
        <w:t>Paper No: PU-SOE-PHY- 1</w:t>
      </w:r>
      <w:r>
        <w:rPr>
          <w:rFonts w:ascii="Times New Roman" w:hAnsi="Times New Roman" w:cs="Times New Roman"/>
          <w:b/>
        </w:rPr>
        <w:t>3</w:t>
      </w:r>
    </w:p>
    <w:p w14:paraId="58A4F9D3" w14:textId="77777777" w:rsidR="00AF0A05" w:rsidRPr="0089227E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4C10E6D3" w14:textId="77777777" w:rsidR="00AF0A05" w:rsidRPr="00903813" w:rsidRDefault="00AF0A05" w:rsidP="00AF0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</w:rPr>
      </w:pPr>
    </w:p>
    <w:p w14:paraId="3F73F7F5" w14:textId="77777777" w:rsidR="00AF0A05" w:rsidRPr="00903813" w:rsidRDefault="00AF0A05" w:rsidP="00AF0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03813">
        <w:rPr>
          <w:rFonts w:ascii="Times New Roman" w:eastAsia="Times New Roman" w:hAnsi="Times New Roman" w:cs="Times New Roman"/>
          <w:b/>
          <w:color w:val="000000"/>
        </w:rPr>
        <w:t>Structural</w:t>
      </w:r>
      <w:r>
        <w:rPr>
          <w:rFonts w:ascii="Times New Roman" w:eastAsia="Times New Roman" w:hAnsi="Times New Roman" w:cs="Times New Roman"/>
          <w:b/>
          <w:color w:val="000000"/>
        </w:rPr>
        <w:t>, Electronic, Vibrational a</w:t>
      </w:r>
      <w:r w:rsidRPr="00903813">
        <w:rPr>
          <w:rFonts w:ascii="Times New Roman" w:eastAsia="Times New Roman" w:hAnsi="Times New Roman" w:cs="Times New Roman"/>
          <w:b/>
          <w:color w:val="000000"/>
        </w:rPr>
        <w:t>nd Magnetic Properties of Zn</w:t>
      </w:r>
      <w:r w:rsidRPr="00903813">
        <w:rPr>
          <w:rFonts w:ascii="Times New Roman" w:eastAsia="Times New Roman" w:hAnsi="Times New Roman" w:cs="Times New Roman"/>
          <w:b/>
          <w:color w:val="000000"/>
          <w:vertAlign w:val="superscript"/>
        </w:rPr>
        <w:t>2+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</w:t>
      </w:r>
      <w:r w:rsidRPr="00903813">
        <w:rPr>
          <w:rFonts w:ascii="Times New Roman" w:eastAsia="Times New Roman" w:hAnsi="Times New Roman" w:cs="Times New Roman"/>
          <w:b/>
          <w:color w:val="000000"/>
        </w:rPr>
        <w:t>ubstituted MnCr</w:t>
      </w:r>
      <w:r w:rsidRPr="00903813">
        <w:rPr>
          <w:rFonts w:ascii="Times New Roman" w:eastAsia="Times New Roman" w:hAnsi="Times New Roman" w:cs="Times New Roman"/>
          <w:b/>
          <w:color w:val="000000"/>
          <w:vertAlign w:val="subscript"/>
        </w:rPr>
        <w:t>2</w:t>
      </w:r>
      <w:r w:rsidRPr="00903813">
        <w:rPr>
          <w:rFonts w:ascii="Times New Roman" w:eastAsia="Times New Roman" w:hAnsi="Times New Roman" w:cs="Times New Roman"/>
          <w:b/>
          <w:color w:val="000000"/>
        </w:rPr>
        <w:t>O</w:t>
      </w:r>
      <w:r w:rsidRPr="00903813">
        <w:rPr>
          <w:rFonts w:ascii="Times New Roman" w:eastAsia="Times New Roman" w:hAnsi="Times New Roman" w:cs="Times New Roman"/>
          <w:b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</w:t>
      </w:r>
      <w:r w:rsidRPr="00903813">
        <w:rPr>
          <w:rFonts w:ascii="Times New Roman" w:eastAsia="Times New Roman" w:hAnsi="Times New Roman" w:cs="Times New Roman"/>
          <w:b/>
          <w:color w:val="000000"/>
        </w:rPr>
        <w:t>anoparticles</w:t>
      </w:r>
    </w:p>
    <w:p w14:paraId="5EFC3A88" w14:textId="77777777" w:rsidR="00AF0A05" w:rsidRPr="00903813" w:rsidRDefault="00AF0A05" w:rsidP="00AF0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</w:rPr>
      </w:pPr>
    </w:p>
    <w:bookmarkStart w:id="0" w:name="bau005"/>
    <w:p w14:paraId="0D5E6D05" w14:textId="77777777" w:rsidR="00AF0A05" w:rsidRDefault="00AF0A05" w:rsidP="00AF0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16"/>
          <w:szCs w:val="16"/>
          <w:vertAlign w:val="superscript"/>
        </w:rPr>
      </w:pPr>
      <w:r w:rsidRPr="00185D33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185D33">
        <w:rPr>
          <w:rFonts w:ascii="Times New Roman" w:eastAsia="Times New Roman" w:hAnsi="Times New Roman" w:cs="Times New Roman"/>
          <w:sz w:val="16"/>
          <w:szCs w:val="16"/>
        </w:rPr>
        <w:instrText xml:space="preserve"> HYPERLINK "https://www.sciencedirect.com/science/article/abs/pii/S0304885319337928" \l "!" </w:instrText>
      </w:r>
      <w:r w:rsidRPr="00185D33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proofErr w:type="spellStart"/>
      <w:proofErr w:type="gramStart"/>
      <w:r w:rsidRPr="00185D33">
        <w:rPr>
          <w:rFonts w:ascii="Times New Roman" w:eastAsia="Times New Roman" w:hAnsi="Times New Roman" w:cs="Times New Roman"/>
          <w:b/>
          <w:sz w:val="16"/>
          <w:szCs w:val="16"/>
        </w:rPr>
        <w:t>K.Manjunatha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85D33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bookmarkEnd w:id="0"/>
      <w:r w:rsidRPr="00273020">
        <w:rPr>
          <w:rFonts w:ascii="Times New Roman" w:eastAsia="Times New Roman" w:hAnsi="Times New Roman" w:cs="Times New Roman"/>
          <w:color w:val="737373"/>
          <w:sz w:val="16"/>
          <w:szCs w:val="16"/>
          <w:vertAlign w:val="superscript"/>
        </w:rPr>
        <w:t xml:space="preserve"> </w:t>
      </w:r>
    </w:p>
    <w:p w14:paraId="7A8904B9" w14:textId="77777777" w:rsidR="00AF0A05" w:rsidRPr="00273020" w:rsidRDefault="00AF0A05" w:rsidP="00AF0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3020">
        <w:rPr>
          <w:rFonts w:ascii="Times New Roman" w:eastAsia="Times New Roman" w:hAnsi="Times New Roman" w:cs="Times New Roman"/>
          <w:sz w:val="16"/>
          <w:szCs w:val="16"/>
        </w:rPr>
        <w:t>Department of Physics, School of Engineering, Presidency University, Bangalore 560064, India</w:t>
      </w:r>
    </w:p>
    <w:p w14:paraId="758717FA" w14:textId="77777777" w:rsidR="00AF0A05" w:rsidRPr="00185D33" w:rsidRDefault="00AF0A05" w:rsidP="00AF0A0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14:paraId="5AAFCBE1" w14:textId="77777777" w:rsidR="00AF0A05" w:rsidRPr="00185D33" w:rsidRDefault="00AF0A05" w:rsidP="00AF0A0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16"/>
        </w:rPr>
      </w:pPr>
    </w:p>
    <w:p w14:paraId="252D4C88" w14:textId="77777777" w:rsidR="00AF0A05" w:rsidRPr="00185D33" w:rsidRDefault="00AF0A05" w:rsidP="00AF0A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D33">
        <w:rPr>
          <w:rFonts w:ascii="Times New Roman" w:hAnsi="Times New Roman" w:cs="Times New Roman"/>
          <w:b/>
        </w:rPr>
        <w:t>Abstract</w:t>
      </w:r>
    </w:p>
    <w:p w14:paraId="55DDD66C" w14:textId="77777777" w:rsidR="00AF0A05" w:rsidRPr="00185D33" w:rsidRDefault="00AF0A05" w:rsidP="00AF0A05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14:paraId="3A77BEFB" w14:textId="77777777" w:rsidR="00AF0A05" w:rsidRPr="0089227E" w:rsidRDefault="00AF0A05" w:rsidP="00AF0A05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1EE6838B" w14:textId="77777777" w:rsidR="00AF0A05" w:rsidRPr="00185D33" w:rsidRDefault="00AF0A05" w:rsidP="00AF0A05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18"/>
        </w:rPr>
      </w:pPr>
      <w:r w:rsidRPr="00185D33">
        <w:rPr>
          <w:rFonts w:ascii="Times New Roman" w:hAnsi="Times New Roman" w:cs="Times New Roman"/>
          <w:color w:val="2E2E2E"/>
          <w:sz w:val="18"/>
        </w:rPr>
        <w:t>In the present investigation, we report the structural, vibrational, electronic and magnetic properties of Mn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0.5</w:t>
      </w:r>
      <w:r w:rsidRPr="00185D33">
        <w:rPr>
          <w:rFonts w:ascii="Times New Roman" w:hAnsi="Times New Roman" w:cs="Times New Roman"/>
          <w:color w:val="2E2E2E"/>
          <w:sz w:val="18"/>
        </w:rPr>
        <w:t>Zn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0.5</w:t>
      </w:r>
      <w:r w:rsidRPr="00185D33">
        <w:rPr>
          <w:rFonts w:ascii="Times New Roman" w:hAnsi="Times New Roman" w:cs="Times New Roman"/>
          <w:color w:val="2E2E2E"/>
          <w:sz w:val="18"/>
        </w:rPr>
        <w:t>Cr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color w:val="2E2E2E"/>
          <w:sz w:val="18"/>
        </w:rPr>
        <w:t>O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color w:val="2E2E2E"/>
          <w:sz w:val="18"/>
        </w:rPr>
        <w:t> nanoparticles fabricated by the solution combustion method and complemented by Density Functional theory (DFT) calculations. X-ray diffraction (XRD), Neutron diffraction, X-ray photoelectron spectroscopy and Raman analysis confirms the formation of single-phase with spinel cubic structure</w:t>
      </w:r>
      <w:r w:rsidRPr="00185D33">
        <w:rPr>
          <w:rStyle w:val="Emphasis"/>
          <w:color w:val="2E2E2E"/>
          <w:sz w:val="18"/>
        </w:rPr>
        <w:t>.</w:t>
      </w:r>
      <w:r w:rsidRPr="00185D33">
        <w:rPr>
          <w:rFonts w:ascii="Times New Roman" w:hAnsi="Times New Roman" w:cs="Times New Roman"/>
          <w:color w:val="2E2E2E"/>
          <w:sz w:val="18"/>
        </w:rPr>
        <w:t> The average crystallite size was found to be 8 nm. The theoretical calculations suggest that Zn-doping on the MnCr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color w:val="2E2E2E"/>
          <w:sz w:val="18"/>
        </w:rPr>
        <w:t>O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color w:val="2E2E2E"/>
          <w:sz w:val="18"/>
        </w:rPr>
        <w:t> matrix induces a unit cell contraction associated with structural distortions along both [AO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color w:val="2E2E2E"/>
          <w:sz w:val="18"/>
        </w:rPr>
        <w:t>] (A = Mn, Zn) and [CrO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6</w:t>
      </w:r>
      <w:r w:rsidRPr="00185D33">
        <w:rPr>
          <w:rFonts w:ascii="Times New Roman" w:hAnsi="Times New Roman" w:cs="Times New Roman"/>
          <w:color w:val="2E2E2E"/>
          <w:sz w:val="18"/>
        </w:rPr>
        <w:t>] clusters, in agreement with the experimental evidence. These structural distortions contribute to narrowing the band-gap of Mn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0.5</w:t>
      </w:r>
      <w:r w:rsidRPr="00185D33">
        <w:rPr>
          <w:rFonts w:ascii="Times New Roman" w:hAnsi="Times New Roman" w:cs="Times New Roman"/>
          <w:color w:val="2E2E2E"/>
          <w:sz w:val="18"/>
        </w:rPr>
        <w:t>Zn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0.5</w:t>
      </w:r>
      <w:r w:rsidRPr="00185D33">
        <w:rPr>
          <w:rFonts w:ascii="Times New Roman" w:hAnsi="Times New Roman" w:cs="Times New Roman"/>
          <w:color w:val="2E2E2E"/>
          <w:sz w:val="18"/>
        </w:rPr>
        <w:t>Cr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color w:val="2E2E2E"/>
          <w:sz w:val="18"/>
        </w:rPr>
        <w:t>O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color w:val="2E2E2E"/>
          <w:sz w:val="18"/>
        </w:rPr>
        <w:t> from disturbed energy levels in the vicinity of Fermi level. Field dependent magnetization confirms that the samples exhibit paramagnetic nature at 300 K and antiferromagnetic nature at 3 K. In the theoretical context, the exchange coupling constant for pure and Zn</w:t>
      </w:r>
      <w:r w:rsidRPr="00185D33">
        <w:rPr>
          <w:rFonts w:ascii="Times New Roman" w:hAnsi="Times New Roman" w:cs="Times New Roman"/>
          <w:color w:val="2E2E2E"/>
          <w:sz w:val="18"/>
          <w:vertAlign w:val="superscript"/>
        </w:rPr>
        <w:t>2+</w:t>
      </w:r>
      <w:r w:rsidRPr="00185D33">
        <w:rPr>
          <w:rFonts w:ascii="Times New Roman" w:hAnsi="Times New Roman" w:cs="Times New Roman"/>
          <w:color w:val="2E2E2E"/>
          <w:sz w:val="18"/>
        </w:rPr>
        <w:t> substituted MnCr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color w:val="2E2E2E"/>
          <w:sz w:val="18"/>
        </w:rPr>
        <w:t>O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color w:val="2E2E2E"/>
          <w:sz w:val="18"/>
        </w:rPr>
        <w:t> materials were calculated confirming the dominant antiferromagnetic character of Cr-Cr interactions. The temperature dependent susceptibility reveals that the magnetic transition from paramagnetic phase to antiferromagnetic phase occurs at 19 K (T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N</w:t>
      </w:r>
      <w:r w:rsidRPr="00185D33">
        <w:rPr>
          <w:rFonts w:ascii="Times New Roman" w:hAnsi="Times New Roman" w:cs="Times New Roman"/>
          <w:color w:val="2E2E2E"/>
          <w:sz w:val="18"/>
        </w:rPr>
        <w:t>). The spin frustration factor of Mn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0.5</w:t>
      </w:r>
      <w:r w:rsidRPr="00185D33">
        <w:rPr>
          <w:rFonts w:ascii="Times New Roman" w:hAnsi="Times New Roman" w:cs="Times New Roman"/>
          <w:color w:val="2E2E2E"/>
          <w:sz w:val="18"/>
        </w:rPr>
        <w:t>Zn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0.5</w:t>
      </w:r>
      <w:r w:rsidRPr="00185D33">
        <w:rPr>
          <w:rFonts w:ascii="Times New Roman" w:hAnsi="Times New Roman" w:cs="Times New Roman"/>
          <w:color w:val="2E2E2E"/>
          <w:sz w:val="18"/>
        </w:rPr>
        <w:t>Cr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2</w:t>
      </w:r>
      <w:r w:rsidRPr="00185D33">
        <w:rPr>
          <w:rFonts w:ascii="Times New Roman" w:hAnsi="Times New Roman" w:cs="Times New Roman"/>
          <w:color w:val="2E2E2E"/>
          <w:sz w:val="18"/>
        </w:rPr>
        <w:t>O</w:t>
      </w:r>
      <w:r w:rsidRPr="00185D33">
        <w:rPr>
          <w:rFonts w:ascii="Times New Roman" w:hAnsi="Times New Roman" w:cs="Times New Roman"/>
          <w:color w:val="2E2E2E"/>
          <w:sz w:val="18"/>
          <w:vertAlign w:val="subscript"/>
        </w:rPr>
        <w:t>4</w:t>
      </w:r>
      <w:r w:rsidRPr="00185D33">
        <w:rPr>
          <w:rFonts w:ascii="Times New Roman" w:hAnsi="Times New Roman" w:cs="Times New Roman"/>
          <w:color w:val="2E2E2E"/>
          <w:sz w:val="18"/>
        </w:rPr>
        <w:t> is found to be 22 K. Hence, our experimental and theoretical result suggests that synthesized materials are useful for low and high frequency applications.</w:t>
      </w:r>
    </w:p>
    <w:p w14:paraId="0C51359B" w14:textId="77777777" w:rsidR="00AF0A05" w:rsidRPr="00185D33" w:rsidRDefault="00AF0A05" w:rsidP="00AF0A05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10"/>
        </w:rPr>
      </w:pPr>
    </w:p>
    <w:p w14:paraId="22822113" w14:textId="77777777" w:rsidR="00AF0A05" w:rsidRPr="00185D33" w:rsidRDefault="00AF0A05" w:rsidP="00AF0A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753B9E5B" w14:textId="77777777" w:rsidR="00AF0A05" w:rsidRPr="00185D33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0"/>
          <w:szCs w:val="27"/>
        </w:rPr>
      </w:pPr>
      <w:r w:rsidRPr="00185D33">
        <w:rPr>
          <w:rFonts w:ascii="Times New Roman" w:eastAsia="Times New Roman" w:hAnsi="Times New Roman" w:cs="Times New Roman"/>
          <w:color w:val="2E2E2E"/>
          <w:sz w:val="20"/>
          <w:szCs w:val="27"/>
        </w:rPr>
        <w:t>Neutron diffraction, Solution combustion method, Raman spectra, Antiferromagnetic, DFT calculations</w:t>
      </w:r>
    </w:p>
    <w:p w14:paraId="0B36FBB4" w14:textId="77777777" w:rsidR="00AF0A05" w:rsidRPr="00185D33" w:rsidRDefault="00AF0A05" w:rsidP="00AF0A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5762D892" w14:textId="77777777" w:rsidR="00AF0A05" w:rsidRPr="0089227E" w:rsidRDefault="00AF0A05" w:rsidP="00AF0A05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376"/>
        <w:gridCol w:w="1800"/>
      </w:tblGrid>
      <w:tr w:rsidR="00AF0A05" w:rsidRPr="0089227E" w14:paraId="1D340001" w14:textId="77777777" w:rsidTr="00673108">
        <w:trPr>
          <w:trHeight w:val="360"/>
        </w:trPr>
        <w:tc>
          <w:tcPr>
            <w:tcW w:w="2610" w:type="dxa"/>
            <w:noWrap/>
            <w:hideMark/>
          </w:tcPr>
          <w:p w14:paraId="061B2B04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85D3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5B4DE0FD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85D3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hideMark/>
          </w:tcPr>
          <w:p w14:paraId="55BD2E03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&amp; </w:t>
            </w:r>
            <w:r w:rsidRPr="00185D3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Year </w:t>
            </w:r>
          </w:p>
        </w:tc>
        <w:tc>
          <w:tcPr>
            <w:tcW w:w="1047" w:type="dxa"/>
            <w:noWrap/>
            <w:hideMark/>
          </w:tcPr>
          <w:p w14:paraId="559B1CB4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85D3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376" w:type="dxa"/>
            <w:noWrap/>
            <w:hideMark/>
          </w:tcPr>
          <w:p w14:paraId="3AA909A5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85D3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01E3DA22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185D3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185D3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AF0A05" w:rsidRPr="0089227E" w14:paraId="396B014A" w14:textId="77777777" w:rsidTr="00673108">
        <w:trPr>
          <w:trHeight w:val="333"/>
        </w:trPr>
        <w:tc>
          <w:tcPr>
            <w:tcW w:w="2610" w:type="dxa"/>
            <w:noWrap/>
            <w:hideMark/>
          </w:tcPr>
          <w:p w14:paraId="6EF0DBF0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85D33">
              <w:rPr>
                <w:rFonts w:ascii="Times New Roman" w:hAnsi="Times New Roman" w:cs="Times New Roman"/>
                <w:color w:val="000000"/>
                <w:sz w:val="20"/>
              </w:rPr>
              <w:t>Journal of Magnetism and Magnetic Materials</w:t>
            </w:r>
          </w:p>
        </w:tc>
        <w:tc>
          <w:tcPr>
            <w:tcW w:w="900" w:type="dxa"/>
            <w:noWrap/>
          </w:tcPr>
          <w:p w14:paraId="29327229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85D33">
              <w:rPr>
                <w:rFonts w:ascii="Times New Roman" w:eastAsia="Times New Roman" w:hAnsi="Times New Roman" w:cs="Times New Roman"/>
                <w:bCs/>
                <w:sz w:val="20"/>
              </w:rPr>
              <w:t>502</w:t>
            </w:r>
          </w:p>
        </w:tc>
        <w:tc>
          <w:tcPr>
            <w:tcW w:w="1717" w:type="dxa"/>
          </w:tcPr>
          <w:p w14:paraId="0F525EFF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85D33">
              <w:rPr>
                <w:rFonts w:ascii="Times New Roman" w:eastAsia="Times New Roman" w:hAnsi="Times New Roman" w:cs="Times New Roman"/>
                <w:bCs/>
                <w:sz w:val="20"/>
              </w:rPr>
              <w:t>May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r w:rsidRPr="00185D3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2020</w:t>
            </w:r>
          </w:p>
        </w:tc>
        <w:tc>
          <w:tcPr>
            <w:tcW w:w="1047" w:type="dxa"/>
            <w:noWrap/>
          </w:tcPr>
          <w:p w14:paraId="661316C7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85D33">
              <w:rPr>
                <w:rFonts w:ascii="Times New Roman" w:eastAsia="Times New Roman" w:hAnsi="Times New Roman" w:cs="Times New Roman"/>
                <w:bCs/>
                <w:sz w:val="20"/>
              </w:rPr>
              <w:t>166595</w:t>
            </w:r>
          </w:p>
        </w:tc>
        <w:tc>
          <w:tcPr>
            <w:tcW w:w="1376" w:type="dxa"/>
            <w:noWrap/>
          </w:tcPr>
          <w:p w14:paraId="055DCEB3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5D33">
              <w:rPr>
                <w:rFonts w:ascii="Times New Roman" w:hAnsi="Times New Roman" w:cs="Times New Roman"/>
                <w:color w:val="000000"/>
                <w:sz w:val="20"/>
              </w:rPr>
              <w:t>Elsevier</w:t>
            </w:r>
          </w:p>
          <w:p w14:paraId="7ACF6CE9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800" w:type="dxa"/>
            <w:noWrap/>
          </w:tcPr>
          <w:p w14:paraId="02921638" w14:textId="77777777" w:rsidR="00AF0A05" w:rsidRPr="00185D33" w:rsidRDefault="00AF0A0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185D33">
              <w:rPr>
                <w:rFonts w:ascii="Times New Roman" w:hAnsi="Times New Roman" w:cs="Times New Roman"/>
                <w:color w:val="000000"/>
                <w:sz w:val="20"/>
              </w:rPr>
              <w:t>Q2</w:t>
            </w:r>
          </w:p>
        </w:tc>
      </w:tr>
    </w:tbl>
    <w:p w14:paraId="06C3F6E5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05"/>
    <w:rsid w:val="00866CE2"/>
    <w:rsid w:val="00AF0A05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8F69"/>
  <w15:chartTrackingRefBased/>
  <w15:docId w15:val="{37382F53-03AE-4C00-ABFC-B2A5A9F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0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2022-05-18T10:55:00Z</dcterms:created>
  <dcterms:modified xsi:type="dcterms:W3CDTF">2022-05-18T10:55:00Z</dcterms:modified>
</cp:coreProperties>
</file>