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EB69" w14:textId="77777777" w:rsidR="0030068B" w:rsidRPr="00903813" w:rsidRDefault="0030068B" w:rsidP="0030068B">
      <w:pPr>
        <w:spacing w:after="0" w:line="240" w:lineRule="auto"/>
        <w:rPr>
          <w:rFonts w:ascii="Times New Roman" w:hAnsi="Times New Roman" w:cs="Times New Roman"/>
          <w:b/>
        </w:rPr>
      </w:pPr>
      <w:r w:rsidRPr="00445029">
        <w:rPr>
          <w:rFonts w:ascii="Times New Roman" w:hAnsi="Times New Roman" w:cs="Times New Roman"/>
          <w:b/>
        </w:rPr>
        <w:t>Paper No: PU-SOE-PHY-05</w:t>
      </w:r>
    </w:p>
    <w:p w14:paraId="5D4B15CD" w14:textId="77777777" w:rsidR="0030068B" w:rsidRPr="00F3132C" w:rsidRDefault="0030068B" w:rsidP="0030068B">
      <w:pPr>
        <w:spacing w:after="0" w:line="240" w:lineRule="auto"/>
        <w:rPr>
          <w:rFonts w:ascii="Times New Roman" w:eastAsia="Times New Roman" w:hAnsi="Times New Roman" w:cs="Times New Roman"/>
          <w:b/>
          <w:bCs/>
          <w:sz w:val="2"/>
        </w:rPr>
      </w:pPr>
    </w:p>
    <w:p w14:paraId="24904093" w14:textId="77777777" w:rsidR="0030068B" w:rsidRPr="00903813" w:rsidRDefault="0030068B" w:rsidP="0030068B">
      <w:pPr>
        <w:spacing w:after="0" w:line="240" w:lineRule="auto"/>
        <w:jc w:val="both"/>
        <w:rPr>
          <w:rFonts w:ascii="Times New Roman" w:eastAsia="Times New Roman" w:hAnsi="Times New Roman" w:cs="Times New Roman"/>
          <w:b/>
          <w:color w:val="000000"/>
          <w:sz w:val="8"/>
        </w:rPr>
      </w:pPr>
    </w:p>
    <w:p w14:paraId="4D0A1ED8" w14:textId="77777777" w:rsidR="0030068B" w:rsidRPr="00903813" w:rsidRDefault="0030068B" w:rsidP="0030068B">
      <w:pPr>
        <w:spacing w:after="0" w:line="240" w:lineRule="auto"/>
        <w:jc w:val="both"/>
        <w:rPr>
          <w:rFonts w:ascii="Times New Roman" w:eastAsia="Times New Roman" w:hAnsi="Times New Roman" w:cs="Times New Roman"/>
          <w:b/>
          <w:color w:val="000000"/>
        </w:rPr>
      </w:pPr>
      <w:r w:rsidRPr="00903813">
        <w:rPr>
          <w:rFonts w:ascii="Times New Roman" w:eastAsia="Times New Roman" w:hAnsi="Times New Roman" w:cs="Times New Roman"/>
          <w:b/>
          <w:color w:val="000000"/>
        </w:rPr>
        <w:t xml:space="preserve">Switching </w:t>
      </w:r>
      <w:r>
        <w:rPr>
          <w:rFonts w:ascii="Times New Roman" w:eastAsia="Times New Roman" w:hAnsi="Times New Roman" w:cs="Times New Roman"/>
          <w:b/>
          <w:color w:val="000000"/>
        </w:rPr>
        <w:t>Behavior o</w:t>
      </w:r>
      <w:r w:rsidRPr="00903813">
        <w:rPr>
          <w:rFonts w:ascii="Times New Roman" w:eastAsia="Times New Roman" w:hAnsi="Times New Roman" w:cs="Times New Roman"/>
          <w:b/>
          <w:color w:val="000000"/>
        </w:rPr>
        <w:t>f Bulk, Fast Ion Conducting, Vitreous AgI‐Ag</w:t>
      </w:r>
      <w:r w:rsidRPr="00903813">
        <w:rPr>
          <w:rFonts w:ascii="Times New Roman" w:eastAsia="Times New Roman" w:hAnsi="Times New Roman" w:cs="Times New Roman"/>
          <w:b/>
          <w:color w:val="000000"/>
          <w:vertAlign w:val="subscript"/>
        </w:rPr>
        <w:t>2</w:t>
      </w:r>
      <w:r w:rsidRPr="00903813">
        <w:rPr>
          <w:rFonts w:ascii="Times New Roman" w:eastAsia="Times New Roman" w:hAnsi="Times New Roman" w:cs="Times New Roman"/>
          <w:b/>
          <w:color w:val="000000"/>
        </w:rPr>
        <w:t>O‐MoO</w:t>
      </w:r>
      <w:r w:rsidRPr="00903813">
        <w:rPr>
          <w:rFonts w:ascii="Times New Roman" w:eastAsia="Times New Roman" w:hAnsi="Times New Roman" w:cs="Times New Roman"/>
          <w:b/>
          <w:color w:val="000000"/>
          <w:vertAlign w:val="subscript"/>
        </w:rPr>
        <w:t>3</w:t>
      </w:r>
      <w:r w:rsidRPr="0090381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Solids w</w:t>
      </w:r>
      <w:r w:rsidRPr="00903813">
        <w:rPr>
          <w:rFonts w:ascii="Times New Roman" w:eastAsia="Times New Roman" w:hAnsi="Times New Roman" w:cs="Times New Roman"/>
          <w:b/>
          <w:color w:val="000000"/>
        </w:rPr>
        <w:t>ith Inert Electrode</w:t>
      </w:r>
    </w:p>
    <w:p w14:paraId="184E1D56" w14:textId="77777777" w:rsidR="0030068B" w:rsidRPr="00F3132C" w:rsidRDefault="0030068B" w:rsidP="0030068B">
      <w:pPr>
        <w:spacing w:after="0" w:line="240" w:lineRule="auto"/>
        <w:jc w:val="both"/>
        <w:rPr>
          <w:rFonts w:ascii="Times New Roman" w:eastAsia="Times New Roman" w:hAnsi="Times New Roman" w:cs="Times New Roman"/>
          <w:b/>
          <w:color w:val="000000"/>
          <w:sz w:val="6"/>
        </w:rPr>
      </w:pPr>
    </w:p>
    <w:p w14:paraId="07C8300E" w14:textId="77777777" w:rsidR="0030068B" w:rsidRPr="00903813" w:rsidRDefault="0030068B" w:rsidP="0030068B">
      <w:pPr>
        <w:spacing w:after="0" w:line="240" w:lineRule="auto"/>
        <w:rPr>
          <w:rFonts w:ascii="Times New Roman" w:eastAsia="Times New Roman" w:hAnsi="Times New Roman" w:cs="Times New Roman"/>
          <w:sz w:val="16"/>
        </w:rPr>
      </w:pPr>
      <w:r w:rsidRPr="00903813">
        <w:rPr>
          <w:rFonts w:ascii="Times New Roman" w:eastAsia="Times New Roman" w:hAnsi="Times New Roman" w:cs="Times New Roman"/>
          <w:sz w:val="16"/>
        </w:rPr>
        <w:t xml:space="preserve">Biswas </w:t>
      </w:r>
      <w:proofErr w:type="spellStart"/>
      <w:r w:rsidRPr="00903813">
        <w:rPr>
          <w:rFonts w:ascii="Times New Roman" w:eastAsia="Times New Roman" w:hAnsi="Times New Roman" w:cs="Times New Roman"/>
          <w:sz w:val="16"/>
        </w:rPr>
        <w:t>Tanujit</w:t>
      </w:r>
      <w:r w:rsidRPr="00903813">
        <w:rPr>
          <w:rFonts w:ascii="Times New Roman" w:eastAsia="Times New Roman" w:hAnsi="Times New Roman" w:cs="Times New Roman"/>
          <w:sz w:val="16"/>
          <w:vertAlign w:val="superscript"/>
        </w:rPr>
        <w:t>a</w:t>
      </w:r>
      <w:proofErr w:type="spellEnd"/>
      <w:r w:rsidRPr="00903813">
        <w:rPr>
          <w:rFonts w:ascii="Times New Roman" w:eastAsia="Times New Roman" w:hAnsi="Times New Roman" w:cs="Times New Roman"/>
          <w:sz w:val="16"/>
        </w:rPr>
        <w:t xml:space="preserve">, </w:t>
      </w:r>
      <w:r w:rsidRPr="00903813">
        <w:rPr>
          <w:rFonts w:ascii="Times New Roman" w:eastAsia="Times New Roman" w:hAnsi="Times New Roman" w:cs="Times New Roman"/>
          <w:b/>
          <w:sz w:val="16"/>
        </w:rPr>
        <w:t xml:space="preserve">G </w:t>
      </w:r>
      <w:proofErr w:type="spellStart"/>
      <w:r w:rsidRPr="00903813">
        <w:rPr>
          <w:rFonts w:ascii="Times New Roman" w:eastAsia="Times New Roman" w:hAnsi="Times New Roman" w:cs="Times New Roman"/>
          <w:b/>
          <w:sz w:val="16"/>
        </w:rPr>
        <w:t>Sreevidya</w:t>
      </w:r>
      <w:proofErr w:type="spellEnd"/>
      <w:r w:rsidRPr="00903813">
        <w:rPr>
          <w:rFonts w:ascii="Times New Roman" w:eastAsia="Times New Roman" w:hAnsi="Times New Roman" w:cs="Times New Roman"/>
          <w:b/>
          <w:sz w:val="16"/>
        </w:rPr>
        <w:t xml:space="preserve"> </w:t>
      </w:r>
      <w:proofErr w:type="spellStart"/>
      <w:r w:rsidRPr="00903813">
        <w:rPr>
          <w:rFonts w:ascii="Times New Roman" w:eastAsia="Times New Roman" w:hAnsi="Times New Roman" w:cs="Times New Roman"/>
          <w:b/>
          <w:sz w:val="16"/>
        </w:rPr>
        <w:t>Varma</w:t>
      </w:r>
      <w:r w:rsidRPr="00903813">
        <w:rPr>
          <w:rFonts w:ascii="Times New Roman" w:eastAsia="Times New Roman" w:hAnsi="Times New Roman" w:cs="Times New Roman"/>
          <w:b/>
          <w:sz w:val="16"/>
          <w:vertAlign w:val="superscript"/>
        </w:rPr>
        <w:t>b</w:t>
      </w:r>
      <w:proofErr w:type="spellEnd"/>
      <w:r w:rsidRPr="00903813">
        <w:rPr>
          <w:rFonts w:ascii="Times New Roman" w:eastAsia="Times New Roman" w:hAnsi="Times New Roman" w:cs="Times New Roman"/>
          <w:sz w:val="16"/>
        </w:rPr>
        <w:t xml:space="preserve">, </w:t>
      </w:r>
      <w:proofErr w:type="spellStart"/>
      <w:r w:rsidRPr="00903813">
        <w:rPr>
          <w:rFonts w:ascii="Times New Roman" w:eastAsia="Times New Roman" w:hAnsi="Times New Roman" w:cs="Times New Roman"/>
          <w:sz w:val="16"/>
        </w:rPr>
        <w:t>Sundarrajan</w:t>
      </w:r>
      <w:proofErr w:type="spellEnd"/>
      <w:r w:rsidRPr="00903813">
        <w:rPr>
          <w:rFonts w:ascii="Times New Roman" w:eastAsia="Times New Roman" w:hAnsi="Times New Roman" w:cs="Times New Roman"/>
          <w:sz w:val="16"/>
        </w:rPr>
        <w:t xml:space="preserve"> </w:t>
      </w:r>
      <w:proofErr w:type="spellStart"/>
      <w:r w:rsidRPr="00903813">
        <w:rPr>
          <w:rFonts w:ascii="Times New Roman" w:eastAsia="Times New Roman" w:hAnsi="Times New Roman" w:cs="Times New Roman"/>
          <w:sz w:val="16"/>
        </w:rPr>
        <w:t>Asokan</w:t>
      </w:r>
      <w:r w:rsidRPr="00903813">
        <w:rPr>
          <w:rFonts w:ascii="Times New Roman" w:eastAsia="Times New Roman" w:hAnsi="Times New Roman" w:cs="Times New Roman"/>
          <w:sz w:val="16"/>
          <w:vertAlign w:val="superscript"/>
        </w:rPr>
        <w:t>c</w:t>
      </w:r>
      <w:proofErr w:type="spellEnd"/>
    </w:p>
    <w:p w14:paraId="25E84B53" w14:textId="77777777" w:rsidR="0030068B" w:rsidRPr="00903813" w:rsidRDefault="0030068B" w:rsidP="0030068B">
      <w:pPr>
        <w:spacing w:after="0" w:line="240" w:lineRule="auto"/>
        <w:rPr>
          <w:rFonts w:ascii="Times New Roman" w:hAnsi="Times New Roman" w:cs="Times New Roman"/>
          <w:bCs/>
          <w:sz w:val="16"/>
          <w:shd w:val="clear" w:color="auto" w:fill="FFFFFF"/>
        </w:rPr>
      </w:pPr>
      <w:r w:rsidRPr="00903813">
        <w:rPr>
          <w:rFonts w:ascii="Times New Roman" w:hAnsi="Times New Roman" w:cs="Times New Roman"/>
          <w:bCs/>
          <w:sz w:val="16"/>
          <w:shd w:val="clear" w:color="auto" w:fill="FFFFFF"/>
          <w:vertAlign w:val="superscript"/>
        </w:rPr>
        <w:t xml:space="preserve">a.  </w:t>
      </w:r>
      <w:r w:rsidRPr="00903813">
        <w:rPr>
          <w:rFonts w:ascii="Times New Roman" w:hAnsi="Times New Roman" w:cs="Times New Roman"/>
          <w:bCs/>
          <w:sz w:val="16"/>
          <w:shd w:val="clear" w:color="auto" w:fill="FFFFFF"/>
        </w:rPr>
        <w:t>Department of Instrumentation and Applied Physics, Indian Institute of Science, Bangalore, India</w:t>
      </w:r>
    </w:p>
    <w:p w14:paraId="5B9E7881" w14:textId="77777777" w:rsidR="0030068B" w:rsidRPr="00903813" w:rsidRDefault="0030068B" w:rsidP="0030068B">
      <w:pPr>
        <w:spacing w:after="0" w:line="240" w:lineRule="auto"/>
        <w:rPr>
          <w:rFonts w:ascii="Times New Roman" w:hAnsi="Times New Roman" w:cs="Times New Roman"/>
          <w:b/>
          <w:bCs/>
          <w:sz w:val="16"/>
          <w:shd w:val="clear" w:color="auto" w:fill="FFFFFF"/>
        </w:rPr>
      </w:pPr>
      <w:r w:rsidRPr="00903813">
        <w:rPr>
          <w:rFonts w:ascii="Times New Roman" w:hAnsi="Times New Roman" w:cs="Times New Roman"/>
          <w:b/>
          <w:bCs/>
          <w:sz w:val="16"/>
          <w:shd w:val="clear" w:color="auto" w:fill="FFFFFF"/>
          <w:vertAlign w:val="superscript"/>
        </w:rPr>
        <w:t xml:space="preserve">b.  </w:t>
      </w:r>
      <w:r w:rsidRPr="00903813">
        <w:rPr>
          <w:rFonts w:ascii="Times New Roman" w:hAnsi="Times New Roman" w:cs="Times New Roman"/>
          <w:b/>
          <w:bCs/>
          <w:sz w:val="16"/>
          <w:shd w:val="clear" w:color="auto" w:fill="FFFFFF"/>
        </w:rPr>
        <w:t>Department of Physics, Presidency University, Bangalore, India</w:t>
      </w:r>
    </w:p>
    <w:p w14:paraId="6981E665" w14:textId="77777777" w:rsidR="0030068B" w:rsidRPr="00903813" w:rsidRDefault="0030068B" w:rsidP="0030068B">
      <w:pPr>
        <w:spacing w:after="0" w:line="240" w:lineRule="auto"/>
        <w:rPr>
          <w:rFonts w:ascii="Times New Roman" w:eastAsia="Times New Roman" w:hAnsi="Times New Roman" w:cs="Times New Roman"/>
          <w:sz w:val="16"/>
        </w:rPr>
      </w:pPr>
      <w:r w:rsidRPr="00903813">
        <w:rPr>
          <w:rFonts w:ascii="Times New Roman" w:hAnsi="Times New Roman" w:cs="Times New Roman"/>
          <w:bCs/>
          <w:sz w:val="16"/>
          <w:shd w:val="clear" w:color="auto" w:fill="FFFFFF"/>
          <w:vertAlign w:val="superscript"/>
        </w:rPr>
        <w:t xml:space="preserve">c.  </w:t>
      </w:r>
      <w:r w:rsidRPr="00903813">
        <w:rPr>
          <w:rFonts w:ascii="Times New Roman" w:hAnsi="Times New Roman" w:cs="Times New Roman"/>
          <w:bCs/>
          <w:sz w:val="16"/>
          <w:shd w:val="clear" w:color="auto" w:fill="FFFFFF"/>
        </w:rPr>
        <w:t>Department of Instrumentation and Applied Physics, Indian Institute of Science, Bangalore, India</w:t>
      </w:r>
    </w:p>
    <w:p w14:paraId="3770A25C" w14:textId="77777777" w:rsidR="0030068B" w:rsidRPr="00F3132C" w:rsidRDefault="0030068B" w:rsidP="0030068B">
      <w:pPr>
        <w:spacing w:after="0" w:line="240" w:lineRule="auto"/>
        <w:rPr>
          <w:rFonts w:ascii="Times New Roman" w:hAnsi="Times New Roman" w:cs="Times New Roman"/>
          <w:sz w:val="2"/>
        </w:rPr>
      </w:pPr>
    </w:p>
    <w:p w14:paraId="77116BF3" w14:textId="77777777" w:rsidR="0030068B" w:rsidRPr="00F3132C" w:rsidRDefault="0030068B" w:rsidP="0030068B">
      <w:pPr>
        <w:spacing w:after="0" w:line="240" w:lineRule="auto"/>
        <w:rPr>
          <w:rFonts w:ascii="Times New Roman" w:hAnsi="Times New Roman" w:cs="Times New Roman"/>
          <w:sz w:val="2"/>
        </w:rPr>
      </w:pPr>
    </w:p>
    <w:p w14:paraId="726742E2" w14:textId="77777777" w:rsidR="0030068B" w:rsidRPr="00F3132C" w:rsidRDefault="0030068B" w:rsidP="0030068B">
      <w:pPr>
        <w:spacing w:after="0" w:line="240" w:lineRule="auto"/>
        <w:rPr>
          <w:rFonts w:ascii="Times New Roman" w:hAnsi="Times New Roman" w:cs="Times New Roman"/>
          <w:sz w:val="2"/>
        </w:rPr>
      </w:pPr>
    </w:p>
    <w:p w14:paraId="7E7DD0CF" w14:textId="77777777" w:rsidR="0030068B" w:rsidRPr="00F3132C" w:rsidRDefault="0030068B" w:rsidP="0030068B">
      <w:pPr>
        <w:spacing w:after="0" w:line="240" w:lineRule="auto"/>
        <w:rPr>
          <w:rFonts w:ascii="Times New Roman" w:hAnsi="Times New Roman" w:cs="Times New Roman"/>
          <w:sz w:val="2"/>
        </w:rPr>
      </w:pPr>
    </w:p>
    <w:p w14:paraId="3BC08704" w14:textId="77777777" w:rsidR="0030068B" w:rsidRPr="00F3132C" w:rsidRDefault="0030068B" w:rsidP="0030068B">
      <w:pPr>
        <w:spacing w:after="0" w:line="240" w:lineRule="auto"/>
        <w:rPr>
          <w:rFonts w:ascii="Times New Roman" w:hAnsi="Times New Roman" w:cs="Times New Roman"/>
          <w:sz w:val="2"/>
        </w:rPr>
      </w:pPr>
    </w:p>
    <w:p w14:paraId="64087AFE" w14:textId="77777777" w:rsidR="0030068B" w:rsidRPr="00F3132C" w:rsidRDefault="0030068B" w:rsidP="0030068B">
      <w:pPr>
        <w:spacing w:after="0" w:line="240" w:lineRule="auto"/>
        <w:rPr>
          <w:rFonts w:ascii="Times New Roman" w:hAnsi="Times New Roman" w:cs="Times New Roman"/>
          <w:sz w:val="2"/>
        </w:rPr>
      </w:pPr>
    </w:p>
    <w:p w14:paraId="34635A9C" w14:textId="77777777" w:rsidR="0030068B" w:rsidRPr="00F3132C" w:rsidRDefault="0030068B" w:rsidP="0030068B">
      <w:pPr>
        <w:spacing w:after="0" w:line="240" w:lineRule="auto"/>
        <w:rPr>
          <w:rFonts w:ascii="Times New Roman" w:hAnsi="Times New Roman" w:cs="Times New Roman"/>
          <w:sz w:val="2"/>
        </w:rPr>
      </w:pPr>
    </w:p>
    <w:p w14:paraId="6297E192" w14:textId="77777777" w:rsidR="0030068B" w:rsidRPr="00903813" w:rsidRDefault="0030068B" w:rsidP="0030068B">
      <w:pPr>
        <w:spacing w:after="0" w:line="240" w:lineRule="auto"/>
        <w:jc w:val="center"/>
        <w:rPr>
          <w:rFonts w:ascii="Times New Roman" w:hAnsi="Times New Roman" w:cs="Times New Roman"/>
          <w:b/>
        </w:rPr>
      </w:pPr>
      <w:r w:rsidRPr="00903813">
        <w:rPr>
          <w:rFonts w:ascii="Times New Roman" w:hAnsi="Times New Roman" w:cs="Times New Roman"/>
          <w:b/>
        </w:rPr>
        <w:t>Abstract</w:t>
      </w:r>
    </w:p>
    <w:p w14:paraId="77B58224" w14:textId="77777777" w:rsidR="0030068B" w:rsidRPr="00903813" w:rsidRDefault="0030068B" w:rsidP="0030068B">
      <w:pPr>
        <w:spacing w:after="0" w:line="240" w:lineRule="auto"/>
        <w:jc w:val="center"/>
        <w:rPr>
          <w:rFonts w:ascii="Times New Roman" w:hAnsi="Times New Roman" w:cs="Times New Roman"/>
          <w:b/>
          <w:sz w:val="8"/>
        </w:rPr>
      </w:pPr>
    </w:p>
    <w:p w14:paraId="094E92B2" w14:textId="77777777" w:rsidR="0030068B" w:rsidRPr="00F3132C" w:rsidRDefault="0030068B" w:rsidP="0030068B">
      <w:pPr>
        <w:spacing w:after="0" w:line="240" w:lineRule="auto"/>
        <w:jc w:val="center"/>
        <w:rPr>
          <w:rFonts w:ascii="Times New Roman" w:hAnsi="Times New Roman" w:cs="Times New Roman"/>
          <w:b/>
          <w:sz w:val="2"/>
        </w:rPr>
      </w:pPr>
    </w:p>
    <w:p w14:paraId="265E74A2" w14:textId="77777777" w:rsidR="0030068B" w:rsidRPr="00903813" w:rsidRDefault="0030068B" w:rsidP="0030068B">
      <w:pPr>
        <w:spacing w:line="240" w:lineRule="auto"/>
        <w:jc w:val="both"/>
        <w:rPr>
          <w:rFonts w:ascii="Times New Roman" w:hAnsi="Times New Roman" w:cs="Times New Roman"/>
          <w:color w:val="1C1D1E"/>
          <w:sz w:val="20"/>
          <w:shd w:val="clear" w:color="auto" w:fill="FFFFFF"/>
        </w:rPr>
      </w:pPr>
      <w:r w:rsidRPr="00903813">
        <w:rPr>
          <w:rFonts w:ascii="Times New Roman" w:hAnsi="Times New Roman" w:cs="Times New Roman"/>
          <w:color w:val="1C1D1E"/>
          <w:sz w:val="18"/>
          <w:shd w:val="clear" w:color="auto" w:fill="FFFFFF"/>
        </w:rPr>
        <w:t xml:space="preserve">Developing efficient, fast performing and thermally stable </w:t>
      </w:r>
      <w:proofErr w:type="gramStart"/>
      <w:r w:rsidRPr="00903813">
        <w:rPr>
          <w:rFonts w:ascii="Times New Roman" w:hAnsi="Times New Roman" w:cs="Times New Roman"/>
          <w:color w:val="1C1D1E"/>
          <w:sz w:val="18"/>
          <w:shd w:val="clear" w:color="auto" w:fill="FFFFFF"/>
        </w:rPr>
        <w:t>Silver</w:t>
      </w:r>
      <w:proofErr w:type="gramEnd"/>
      <w:r w:rsidRPr="00903813">
        <w:rPr>
          <w:rFonts w:ascii="Times New Roman" w:hAnsi="Times New Roman" w:cs="Times New Roman"/>
          <w:color w:val="1C1D1E"/>
          <w:sz w:val="18"/>
          <w:shd w:val="clear" w:color="auto" w:fill="FFFFFF"/>
        </w:rPr>
        <w:t xml:space="preserve"> iodide‐based fast ion conducting solids are of great interest for resistive switching applications, but still remain a challenge. Metallization in bulk, behavior of threshold voltage profile over composition, and corrosion reactions are few of the challenges. In this work, the switching behavior of bulk, fast ion conducting, vitreous (</w:t>
      </w:r>
      <w:proofErr w:type="spellStart"/>
      <w:r w:rsidRPr="00903813">
        <w:rPr>
          <w:rFonts w:ascii="Times New Roman" w:hAnsi="Times New Roman" w:cs="Times New Roman"/>
          <w:color w:val="1C1D1E"/>
          <w:sz w:val="18"/>
          <w:shd w:val="clear" w:color="auto" w:fill="FFFFFF"/>
        </w:rPr>
        <w:t>AgI</w:t>
      </w:r>
      <w:proofErr w:type="spellEnd"/>
      <w:r w:rsidRPr="00903813">
        <w:rPr>
          <w:rFonts w:ascii="Times New Roman" w:hAnsi="Times New Roman" w:cs="Times New Roman"/>
          <w:color w:val="1C1D1E"/>
          <w:sz w:val="18"/>
          <w:shd w:val="clear" w:color="auto" w:fill="FFFFFF"/>
        </w:rPr>
        <w:t>)</w:t>
      </w:r>
      <w:r w:rsidRPr="00903813">
        <w:rPr>
          <w:rFonts w:ascii="Times New Roman" w:hAnsi="Times New Roman" w:cs="Times New Roman"/>
          <w:i/>
          <w:iCs/>
          <w:color w:val="1C1D1E"/>
          <w:sz w:val="14"/>
          <w:szCs w:val="18"/>
          <w:shd w:val="clear" w:color="auto" w:fill="FFFFFF"/>
          <w:vertAlign w:val="subscript"/>
        </w:rPr>
        <w:t>x</w:t>
      </w:r>
      <w:r w:rsidRPr="00903813">
        <w:rPr>
          <w:rFonts w:ascii="Times New Roman" w:hAnsi="Times New Roman" w:cs="Times New Roman"/>
          <w:i/>
          <w:iCs/>
          <w:color w:val="1C1D1E"/>
          <w:sz w:val="18"/>
          <w:shd w:val="clear" w:color="auto" w:fill="FFFFFF"/>
        </w:rPr>
        <w:t> </w:t>
      </w:r>
      <w:r w:rsidRPr="00903813">
        <w:rPr>
          <w:rFonts w:ascii="Times New Roman" w:hAnsi="Times New Roman" w:cs="Times New Roman"/>
          <w:color w:val="1C1D1E"/>
          <w:sz w:val="18"/>
          <w:shd w:val="clear" w:color="auto" w:fill="FFFFFF"/>
        </w:rPr>
        <w:t>‐(Ag</w:t>
      </w:r>
      <w:r w:rsidRPr="00903813">
        <w:rPr>
          <w:rFonts w:ascii="Times New Roman" w:hAnsi="Times New Roman" w:cs="Times New Roman"/>
          <w:color w:val="1C1D1E"/>
          <w:sz w:val="14"/>
          <w:szCs w:val="18"/>
          <w:shd w:val="clear" w:color="auto" w:fill="FFFFFF"/>
          <w:vertAlign w:val="subscript"/>
        </w:rPr>
        <w:t>2</w:t>
      </w:r>
      <w:r w:rsidRPr="00903813">
        <w:rPr>
          <w:rFonts w:ascii="Times New Roman" w:hAnsi="Times New Roman" w:cs="Times New Roman"/>
          <w:color w:val="1C1D1E"/>
          <w:sz w:val="18"/>
          <w:shd w:val="clear" w:color="auto" w:fill="FFFFFF"/>
        </w:rPr>
        <w:t>O)</w:t>
      </w:r>
      <w:r w:rsidRPr="00903813">
        <w:rPr>
          <w:rFonts w:ascii="Times New Roman" w:hAnsi="Times New Roman" w:cs="Times New Roman"/>
          <w:color w:val="1C1D1E"/>
          <w:sz w:val="14"/>
          <w:szCs w:val="18"/>
          <w:shd w:val="clear" w:color="auto" w:fill="FFFFFF"/>
          <w:vertAlign w:val="subscript"/>
        </w:rPr>
        <w:t>25</w:t>
      </w:r>
      <w:r w:rsidRPr="00903813">
        <w:rPr>
          <w:rFonts w:ascii="Times New Roman" w:hAnsi="Times New Roman" w:cs="Times New Roman"/>
          <w:color w:val="1C1D1E"/>
          <w:sz w:val="18"/>
          <w:shd w:val="clear" w:color="auto" w:fill="FFFFFF"/>
        </w:rPr>
        <w:t>‐(MoO</w:t>
      </w:r>
      <w:r w:rsidRPr="00903813">
        <w:rPr>
          <w:rFonts w:ascii="Times New Roman" w:hAnsi="Times New Roman" w:cs="Times New Roman"/>
          <w:color w:val="1C1D1E"/>
          <w:sz w:val="14"/>
          <w:szCs w:val="18"/>
          <w:shd w:val="clear" w:color="auto" w:fill="FFFFFF"/>
          <w:vertAlign w:val="subscript"/>
        </w:rPr>
        <w:t>3</w:t>
      </w:r>
      <w:r w:rsidRPr="00903813">
        <w:rPr>
          <w:rFonts w:ascii="Times New Roman" w:hAnsi="Times New Roman" w:cs="Times New Roman"/>
          <w:color w:val="1C1D1E"/>
          <w:sz w:val="18"/>
          <w:shd w:val="clear" w:color="auto" w:fill="FFFFFF"/>
        </w:rPr>
        <w:t>)</w:t>
      </w:r>
      <w:r w:rsidRPr="00903813">
        <w:rPr>
          <w:rFonts w:ascii="Times New Roman" w:hAnsi="Times New Roman" w:cs="Times New Roman"/>
          <w:color w:val="1C1D1E"/>
          <w:sz w:val="14"/>
          <w:szCs w:val="18"/>
          <w:shd w:val="clear" w:color="auto" w:fill="FFFFFF"/>
          <w:vertAlign w:val="subscript"/>
        </w:rPr>
        <w:t>75‐</w:t>
      </w:r>
      <w:proofErr w:type="gramStart"/>
      <w:r w:rsidRPr="00903813">
        <w:rPr>
          <w:rFonts w:ascii="Times New Roman" w:hAnsi="Times New Roman" w:cs="Times New Roman"/>
          <w:i/>
          <w:iCs/>
          <w:color w:val="1C1D1E"/>
          <w:sz w:val="14"/>
          <w:szCs w:val="18"/>
          <w:shd w:val="clear" w:color="auto" w:fill="FFFFFF"/>
          <w:vertAlign w:val="subscript"/>
        </w:rPr>
        <w:t>x</w:t>
      </w:r>
      <w:r w:rsidRPr="00903813">
        <w:rPr>
          <w:rFonts w:ascii="Times New Roman" w:hAnsi="Times New Roman" w:cs="Times New Roman"/>
          <w:i/>
          <w:iCs/>
          <w:color w:val="1C1D1E"/>
          <w:sz w:val="18"/>
          <w:shd w:val="clear" w:color="auto" w:fill="FFFFFF"/>
        </w:rPr>
        <w:t> </w:t>
      </w:r>
      <w:r w:rsidRPr="00903813">
        <w:rPr>
          <w:rFonts w:ascii="Times New Roman" w:hAnsi="Times New Roman" w:cs="Times New Roman"/>
          <w:color w:val="1C1D1E"/>
          <w:sz w:val="18"/>
          <w:shd w:val="clear" w:color="auto" w:fill="FFFFFF"/>
        </w:rPr>
        <w:t>,</w:t>
      </w:r>
      <w:proofErr w:type="gramEnd"/>
      <w:r w:rsidRPr="00903813">
        <w:rPr>
          <w:rFonts w:ascii="Times New Roman" w:hAnsi="Times New Roman" w:cs="Times New Roman"/>
          <w:color w:val="1C1D1E"/>
          <w:sz w:val="18"/>
          <w:shd w:val="clear" w:color="auto" w:fill="FFFFFF"/>
        </w:rPr>
        <w:t xml:space="preserve"> for 60 ≤ </w:t>
      </w:r>
      <w:r w:rsidRPr="00903813">
        <w:rPr>
          <w:rFonts w:ascii="Times New Roman" w:hAnsi="Times New Roman" w:cs="Times New Roman"/>
          <w:i/>
          <w:iCs/>
          <w:color w:val="1C1D1E"/>
          <w:sz w:val="18"/>
          <w:shd w:val="clear" w:color="auto" w:fill="FFFFFF"/>
        </w:rPr>
        <w:t>x  </w:t>
      </w:r>
      <w:r w:rsidRPr="00903813">
        <w:rPr>
          <w:rFonts w:ascii="Times New Roman" w:hAnsi="Times New Roman" w:cs="Times New Roman"/>
          <w:color w:val="1C1D1E"/>
          <w:sz w:val="18"/>
          <w:shd w:val="clear" w:color="auto" w:fill="FFFFFF"/>
        </w:rPr>
        <w:t>≤ 40 solids, has been investigated in order to understand the switching mechanism with the inert electrodes. By using inert electrodes, the switching becomes irreversible, memory type. The switching mechanism is the electrochemical metallization process. The inert electrodes restrain ionic mass transfer but exhibit low barrier to electron transfer allowing the cathodic metallization reaction to reach Nernst equilibrium faster. Cations involved in this process transport through the free volume within the solid structure and follows Mott‐Gurney model for electric field‐driven thermally activated ion hopping conductivity model. This model along with the thermal stability profile provides a narrow region within composition with better switching performance based on swiftness to reach threshold voltage and less power loss. Traces of anionic contribution to metallization are absent. Moreover, anodic oxidation involves reactions that cause bubble formation and corrosion.</w:t>
      </w:r>
    </w:p>
    <w:p w14:paraId="10AD26A6" w14:textId="77777777" w:rsidR="0030068B" w:rsidRPr="00903813" w:rsidRDefault="0030068B" w:rsidP="0030068B">
      <w:pPr>
        <w:spacing w:after="0" w:line="240" w:lineRule="auto"/>
        <w:jc w:val="both"/>
        <w:rPr>
          <w:rFonts w:ascii="Times New Roman" w:hAnsi="Times New Roman" w:cs="Times New Roman"/>
          <w:b/>
        </w:rPr>
      </w:pPr>
      <w:r>
        <w:rPr>
          <w:rFonts w:ascii="Times New Roman" w:hAnsi="Times New Roman" w:cs="Times New Roman"/>
          <w:b/>
        </w:rPr>
        <w:t>Keywords:</w:t>
      </w:r>
    </w:p>
    <w:p w14:paraId="5DB05FD5" w14:textId="77777777" w:rsidR="0030068B" w:rsidRPr="00903813" w:rsidRDefault="0030068B" w:rsidP="0030068B">
      <w:pPr>
        <w:spacing w:after="0" w:line="240" w:lineRule="auto"/>
        <w:jc w:val="both"/>
        <w:rPr>
          <w:rFonts w:ascii="Times New Roman" w:hAnsi="Times New Roman" w:cs="Times New Roman"/>
          <w:sz w:val="16"/>
        </w:rPr>
      </w:pPr>
      <w:r w:rsidRPr="00903813">
        <w:rPr>
          <w:rFonts w:ascii="Times New Roman" w:hAnsi="Times New Roman" w:cs="Times New Roman"/>
          <w:sz w:val="20"/>
        </w:rPr>
        <w:t>Electrochemistry, Glass-ceramics, Ionic conductivity, Oxides, Electrochemistry</w:t>
      </w:r>
      <w:r w:rsidRPr="00903813">
        <w:rPr>
          <w:rFonts w:ascii="Times New Roman" w:hAnsi="Times New Roman" w:cs="Times New Roman"/>
          <w:sz w:val="16"/>
        </w:rPr>
        <w:t xml:space="preserve"> </w:t>
      </w:r>
    </w:p>
    <w:p w14:paraId="52594AB1" w14:textId="77777777" w:rsidR="0030068B" w:rsidRPr="00903813" w:rsidRDefault="0030068B" w:rsidP="0030068B">
      <w:pPr>
        <w:spacing w:after="0" w:line="240" w:lineRule="auto"/>
        <w:rPr>
          <w:rFonts w:ascii="Times New Roman" w:hAnsi="Times New Roman" w:cs="Times New Roman"/>
          <w:b/>
        </w:rPr>
      </w:pPr>
      <w:r>
        <w:rPr>
          <w:rFonts w:ascii="Times New Roman" w:hAnsi="Times New Roman" w:cs="Times New Roman"/>
          <w:b/>
        </w:rPr>
        <w:t>Publication Details:</w:t>
      </w:r>
    </w:p>
    <w:p w14:paraId="469339BF" w14:textId="77777777" w:rsidR="0030068B" w:rsidRPr="00F3132C" w:rsidRDefault="0030068B" w:rsidP="0030068B">
      <w:pPr>
        <w:spacing w:after="0" w:line="240" w:lineRule="auto"/>
        <w:rPr>
          <w:rFonts w:ascii="Times New Roman" w:hAnsi="Times New Roman" w:cs="Times New Roman"/>
          <w:b/>
          <w:sz w:val="4"/>
        </w:rPr>
      </w:pPr>
    </w:p>
    <w:tbl>
      <w:tblPr>
        <w:tblW w:w="9450" w:type="dxa"/>
        <w:tblLayout w:type="fixed"/>
        <w:tblLook w:val="04A0" w:firstRow="1" w:lastRow="0" w:firstColumn="1" w:lastColumn="0" w:noHBand="0" w:noVBand="1"/>
      </w:tblPr>
      <w:tblGrid>
        <w:gridCol w:w="2610"/>
        <w:gridCol w:w="900"/>
        <w:gridCol w:w="1620"/>
        <w:gridCol w:w="990"/>
        <w:gridCol w:w="1440"/>
        <w:gridCol w:w="1890"/>
      </w:tblGrid>
      <w:tr w:rsidR="0030068B" w:rsidRPr="00F3132C" w14:paraId="14920EF9" w14:textId="77777777" w:rsidTr="00673108">
        <w:trPr>
          <w:trHeight w:val="396"/>
        </w:trPr>
        <w:tc>
          <w:tcPr>
            <w:tcW w:w="2610" w:type="dxa"/>
            <w:noWrap/>
            <w:hideMark/>
          </w:tcPr>
          <w:p w14:paraId="191B3F3D" w14:textId="77777777" w:rsidR="0030068B" w:rsidRPr="00903813" w:rsidRDefault="0030068B" w:rsidP="00673108">
            <w:pPr>
              <w:spacing w:after="0" w:line="240" w:lineRule="auto"/>
              <w:jc w:val="center"/>
              <w:rPr>
                <w:rFonts w:ascii="Times New Roman" w:eastAsia="Times New Roman" w:hAnsi="Times New Roman" w:cs="Times New Roman"/>
                <w:b/>
                <w:bCs/>
                <w:sz w:val="20"/>
              </w:rPr>
            </w:pPr>
            <w:r w:rsidRPr="00903813">
              <w:rPr>
                <w:rFonts w:ascii="Times New Roman" w:eastAsia="Times New Roman" w:hAnsi="Times New Roman" w:cs="Times New Roman"/>
                <w:b/>
                <w:bCs/>
                <w:sz w:val="20"/>
              </w:rPr>
              <w:t>Journal Name</w:t>
            </w:r>
          </w:p>
        </w:tc>
        <w:tc>
          <w:tcPr>
            <w:tcW w:w="900" w:type="dxa"/>
            <w:noWrap/>
            <w:hideMark/>
          </w:tcPr>
          <w:p w14:paraId="4555BB63" w14:textId="77777777" w:rsidR="0030068B" w:rsidRPr="00903813" w:rsidRDefault="0030068B" w:rsidP="00673108">
            <w:pPr>
              <w:spacing w:after="0" w:line="240" w:lineRule="auto"/>
              <w:jc w:val="center"/>
              <w:rPr>
                <w:rFonts w:ascii="Times New Roman" w:eastAsia="Times New Roman" w:hAnsi="Times New Roman" w:cs="Times New Roman"/>
                <w:b/>
                <w:bCs/>
                <w:sz w:val="20"/>
              </w:rPr>
            </w:pPr>
            <w:r w:rsidRPr="00903813">
              <w:rPr>
                <w:rFonts w:ascii="Times New Roman" w:eastAsia="Times New Roman" w:hAnsi="Times New Roman" w:cs="Times New Roman"/>
                <w:b/>
                <w:bCs/>
                <w:sz w:val="20"/>
              </w:rPr>
              <w:t>Vol.</w:t>
            </w:r>
          </w:p>
        </w:tc>
        <w:tc>
          <w:tcPr>
            <w:tcW w:w="1620" w:type="dxa"/>
            <w:hideMark/>
          </w:tcPr>
          <w:p w14:paraId="05028F99" w14:textId="77777777" w:rsidR="0030068B" w:rsidRPr="00903813" w:rsidRDefault="0030068B" w:rsidP="00673108">
            <w:pPr>
              <w:spacing w:after="0" w:line="240" w:lineRule="auto"/>
              <w:jc w:val="center"/>
              <w:rPr>
                <w:rFonts w:ascii="Times New Roman" w:eastAsia="Times New Roman" w:hAnsi="Times New Roman" w:cs="Times New Roman"/>
                <w:b/>
                <w:bCs/>
                <w:sz w:val="20"/>
              </w:rPr>
            </w:pPr>
            <w:r w:rsidRPr="00903813">
              <w:rPr>
                <w:rFonts w:ascii="Times New Roman" w:eastAsia="Times New Roman" w:hAnsi="Times New Roman" w:cs="Times New Roman"/>
                <w:b/>
                <w:bCs/>
                <w:sz w:val="20"/>
              </w:rPr>
              <w:t xml:space="preserve">Month </w:t>
            </w:r>
            <w:proofErr w:type="gramStart"/>
            <w:r w:rsidRPr="00903813">
              <w:rPr>
                <w:rFonts w:ascii="Times New Roman" w:eastAsia="Times New Roman" w:hAnsi="Times New Roman" w:cs="Times New Roman"/>
                <w:b/>
                <w:bCs/>
                <w:sz w:val="20"/>
              </w:rPr>
              <w:t>&amp;  Year</w:t>
            </w:r>
            <w:proofErr w:type="gramEnd"/>
            <w:r w:rsidRPr="00903813">
              <w:rPr>
                <w:rFonts w:ascii="Times New Roman" w:eastAsia="Times New Roman" w:hAnsi="Times New Roman" w:cs="Times New Roman"/>
                <w:b/>
                <w:bCs/>
                <w:sz w:val="20"/>
              </w:rPr>
              <w:t xml:space="preserve"> </w:t>
            </w:r>
          </w:p>
        </w:tc>
        <w:tc>
          <w:tcPr>
            <w:tcW w:w="990" w:type="dxa"/>
            <w:noWrap/>
            <w:hideMark/>
          </w:tcPr>
          <w:p w14:paraId="4E4B90C3" w14:textId="77777777" w:rsidR="0030068B" w:rsidRPr="00903813" w:rsidRDefault="0030068B" w:rsidP="00673108">
            <w:pPr>
              <w:spacing w:after="0" w:line="240" w:lineRule="auto"/>
              <w:jc w:val="center"/>
              <w:rPr>
                <w:rFonts w:ascii="Times New Roman" w:eastAsia="Times New Roman" w:hAnsi="Times New Roman" w:cs="Times New Roman"/>
                <w:b/>
                <w:bCs/>
                <w:sz w:val="20"/>
              </w:rPr>
            </w:pPr>
            <w:r w:rsidRPr="00903813">
              <w:rPr>
                <w:rFonts w:ascii="Times New Roman" w:eastAsia="Times New Roman" w:hAnsi="Times New Roman" w:cs="Times New Roman"/>
                <w:b/>
                <w:bCs/>
                <w:sz w:val="20"/>
              </w:rPr>
              <w:t>Page No.</w:t>
            </w:r>
          </w:p>
        </w:tc>
        <w:tc>
          <w:tcPr>
            <w:tcW w:w="1440" w:type="dxa"/>
            <w:noWrap/>
            <w:hideMark/>
          </w:tcPr>
          <w:p w14:paraId="43FD5AD0" w14:textId="77777777" w:rsidR="0030068B" w:rsidRPr="00903813" w:rsidRDefault="0030068B" w:rsidP="00673108">
            <w:pPr>
              <w:spacing w:after="0" w:line="240" w:lineRule="auto"/>
              <w:jc w:val="center"/>
              <w:rPr>
                <w:rFonts w:ascii="Times New Roman" w:eastAsia="Times New Roman" w:hAnsi="Times New Roman" w:cs="Times New Roman"/>
                <w:b/>
                <w:bCs/>
                <w:sz w:val="20"/>
              </w:rPr>
            </w:pPr>
            <w:r w:rsidRPr="00903813">
              <w:rPr>
                <w:rFonts w:ascii="Times New Roman" w:eastAsia="Times New Roman" w:hAnsi="Times New Roman" w:cs="Times New Roman"/>
                <w:b/>
                <w:bCs/>
                <w:sz w:val="20"/>
              </w:rPr>
              <w:t>Publisher</w:t>
            </w:r>
          </w:p>
        </w:tc>
        <w:tc>
          <w:tcPr>
            <w:tcW w:w="1890" w:type="dxa"/>
            <w:noWrap/>
            <w:hideMark/>
          </w:tcPr>
          <w:p w14:paraId="6991AC76" w14:textId="77777777" w:rsidR="0030068B" w:rsidRPr="00903813" w:rsidRDefault="0030068B" w:rsidP="00673108">
            <w:pPr>
              <w:spacing w:after="0" w:line="240" w:lineRule="auto"/>
              <w:jc w:val="center"/>
              <w:rPr>
                <w:rFonts w:ascii="Times New Roman" w:eastAsia="Times New Roman" w:hAnsi="Times New Roman" w:cs="Times New Roman"/>
                <w:b/>
                <w:bCs/>
                <w:sz w:val="20"/>
              </w:rPr>
            </w:pPr>
            <w:proofErr w:type="spellStart"/>
            <w:r w:rsidRPr="00903813">
              <w:rPr>
                <w:rFonts w:ascii="Times New Roman" w:eastAsia="Times New Roman" w:hAnsi="Times New Roman" w:cs="Times New Roman"/>
                <w:b/>
                <w:bCs/>
                <w:sz w:val="20"/>
              </w:rPr>
              <w:t>Scimago</w:t>
            </w:r>
            <w:proofErr w:type="spellEnd"/>
            <w:r w:rsidRPr="00903813">
              <w:rPr>
                <w:rFonts w:ascii="Times New Roman" w:eastAsia="Times New Roman" w:hAnsi="Times New Roman" w:cs="Times New Roman"/>
                <w:b/>
                <w:bCs/>
                <w:sz w:val="20"/>
              </w:rPr>
              <w:t xml:space="preserve"> Ranking</w:t>
            </w:r>
          </w:p>
        </w:tc>
      </w:tr>
      <w:tr w:rsidR="0030068B" w:rsidRPr="00F3132C" w14:paraId="1C41F5B9" w14:textId="77777777" w:rsidTr="00673108">
        <w:trPr>
          <w:trHeight w:val="333"/>
        </w:trPr>
        <w:tc>
          <w:tcPr>
            <w:tcW w:w="2610" w:type="dxa"/>
            <w:noWrap/>
            <w:hideMark/>
          </w:tcPr>
          <w:p w14:paraId="425533B5" w14:textId="77777777" w:rsidR="0030068B" w:rsidRPr="00903813" w:rsidRDefault="0030068B" w:rsidP="00673108">
            <w:pPr>
              <w:spacing w:after="0" w:line="240" w:lineRule="auto"/>
              <w:jc w:val="center"/>
              <w:rPr>
                <w:rFonts w:ascii="Times New Roman" w:eastAsia="Times New Roman" w:hAnsi="Times New Roman" w:cs="Times New Roman"/>
                <w:b/>
                <w:bCs/>
                <w:color w:val="FF0000"/>
                <w:sz w:val="20"/>
              </w:rPr>
            </w:pPr>
            <w:r w:rsidRPr="00903813">
              <w:rPr>
                <w:rFonts w:ascii="Times New Roman" w:hAnsi="Times New Roman" w:cs="Times New Roman"/>
                <w:color w:val="000000"/>
                <w:sz w:val="20"/>
              </w:rPr>
              <w:t>Journal of the American Ceramic Society</w:t>
            </w:r>
          </w:p>
        </w:tc>
        <w:tc>
          <w:tcPr>
            <w:tcW w:w="900" w:type="dxa"/>
            <w:noWrap/>
          </w:tcPr>
          <w:p w14:paraId="59AD8B02" w14:textId="77777777" w:rsidR="0030068B" w:rsidRPr="00903813" w:rsidRDefault="0030068B" w:rsidP="00673108">
            <w:pPr>
              <w:spacing w:after="0" w:line="240" w:lineRule="auto"/>
              <w:jc w:val="center"/>
              <w:rPr>
                <w:rFonts w:ascii="Times New Roman" w:eastAsia="Times New Roman" w:hAnsi="Times New Roman" w:cs="Times New Roman"/>
                <w:b/>
                <w:bCs/>
                <w:color w:val="FF0000"/>
                <w:sz w:val="20"/>
              </w:rPr>
            </w:pPr>
            <w:r w:rsidRPr="00903813">
              <w:rPr>
                <w:rFonts w:ascii="Times New Roman" w:hAnsi="Times New Roman" w:cs="Times New Roman"/>
                <w:color w:val="000000"/>
                <w:sz w:val="20"/>
              </w:rPr>
              <w:t xml:space="preserve"> 102 (12)</w:t>
            </w:r>
          </w:p>
        </w:tc>
        <w:tc>
          <w:tcPr>
            <w:tcW w:w="1620" w:type="dxa"/>
          </w:tcPr>
          <w:p w14:paraId="71BAA6E9" w14:textId="77777777" w:rsidR="0030068B" w:rsidRPr="00903813" w:rsidRDefault="0030068B" w:rsidP="00673108">
            <w:pPr>
              <w:spacing w:after="0" w:line="240" w:lineRule="auto"/>
              <w:jc w:val="center"/>
              <w:rPr>
                <w:rFonts w:ascii="Times New Roman" w:eastAsia="Times New Roman" w:hAnsi="Times New Roman" w:cs="Times New Roman"/>
                <w:b/>
                <w:bCs/>
                <w:color w:val="FF0000"/>
                <w:sz w:val="20"/>
              </w:rPr>
            </w:pPr>
            <w:r w:rsidRPr="00903813">
              <w:rPr>
                <w:rFonts w:ascii="Times New Roman" w:hAnsi="Times New Roman" w:cs="Times New Roman"/>
                <w:color w:val="000000"/>
                <w:sz w:val="20"/>
              </w:rPr>
              <w:t>Dec</w:t>
            </w:r>
            <w:r>
              <w:rPr>
                <w:rFonts w:ascii="Times New Roman" w:hAnsi="Times New Roman" w:cs="Times New Roman"/>
                <w:color w:val="000000"/>
                <w:sz w:val="20"/>
              </w:rPr>
              <w:t>.</w:t>
            </w:r>
            <w:r w:rsidRPr="00903813">
              <w:rPr>
                <w:rFonts w:ascii="Times New Roman" w:hAnsi="Times New Roman" w:cs="Times New Roman"/>
                <w:color w:val="000000"/>
                <w:sz w:val="20"/>
              </w:rPr>
              <w:t xml:space="preserve"> 2019</w:t>
            </w:r>
          </w:p>
        </w:tc>
        <w:tc>
          <w:tcPr>
            <w:tcW w:w="990" w:type="dxa"/>
            <w:noWrap/>
          </w:tcPr>
          <w:p w14:paraId="20A23B06" w14:textId="77777777" w:rsidR="0030068B" w:rsidRPr="00903813" w:rsidRDefault="0030068B" w:rsidP="00673108">
            <w:pPr>
              <w:spacing w:after="0" w:line="240" w:lineRule="auto"/>
              <w:jc w:val="center"/>
              <w:rPr>
                <w:rFonts w:ascii="Times New Roman" w:eastAsia="Times New Roman" w:hAnsi="Times New Roman" w:cs="Times New Roman"/>
                <w:b/>
                <w:bCs/>
                <w:color w:val="FF0000"/>
                <w:sz w:val="20"/>
              </w:rPr>
            </w:pPr>
            <w:r w:rsidRPr="00903813">
              <w:rPr>
                <w:rFonts w:ascii="Times New Roman" w:hAnsi="Times New Roman" w:cs="Times New Roman"/>
                <w:color w:val="000000"/>
                <w:sz w:val="20"/>
              </w:rPr>
              <w:t>7244-     7252</w:t>
            </w:r>
          </w:p>
        </w:tc>
        <w:tc>
          <w:tcPr>
            <w:tcW w:w="1440" w:type="dxa"/>
            <w:noWrap/>
          </w:tcPr>
          <w:p w14:paraId="0ABF0AC2" w14:textId="77777777" w:rsidR="0030068B" w:rsidRPr="00903813" w:rsidRDefault="0030068B" w:rsidP="00673108">
            <w:pPr>
              <w:spacing w:after="0" w:line="240" w:lineRule="auto"/>
              <w:jc w:val="center"/>
              <w:rPr>
                <w:rFonts w:ascii="Times New Roman" w:eastAsia="Times New Roman" w:hAnsi="Times New Roman" w:cs="Times New Roman"/>
                <w:b/>
                <w:bCs/>
                <w:color w:val="FF0000"/>
                <w:sz w:val="20"/>
              </w:rPr>
            </w:pPr>
            <w:r w:rsidRPr="00903813">
              <w:rPr>
                <w:rFonts w:ascii="Times New Roman" w:hAnsi="Times New Roman" w:cs="Times New Roman"/>
                <w:color w:val="000000"/>
                <w:sz w:val="20"/>
              </w:rPr>
              <w:t>Wiley-Blackwell</w:t>
            </w:r>
          </w:p>
        </w:tc>
        <w:tc>
          <w:tcPr>
            <w:tcW w:w="1890" w:type="dxa"/>
            <w:noWrap/>
          </w:tcPr>
          <w:p w14:paraId="5E0C6315" w14:textId="77777777" w:rsidR="0030068B" w:rsidRPr="00903813" w:rsidRDefault="0030068B" w:rsidP="00673108">
            <w:pPr>
              <w:spacing w:after="0" w:line="240" w:lineRule="auto"/>
              <w:jc w:val="center"/>
              <w:rPr>
                <w:rFonts w:ascii="Times New Roman" w:eastAsia="Times New Roman" w:hAnsi="Times New Roman" w:cs="Times New Roman"/>
                <w:b/>
                <w:bCs/>
                <w:color w:val="FF0000"/>
                <w:sz w:val="20"/>
              </w:rPr>
            </w:pPr>
            <w:r w:rsidRPr="00903813">
              <w:rPr>
                <w:rFonts w:ascii="Times New Roman" w:hAnsi="Times New Roman" w:cs="Times New Roman"/>
                <w:color w:val="000000"/>
                <w:sz w:val="20"/>
              </w:rPr>
              <w:t>Q1</w:t>
            </w:r>
          </w:p>
        </w:tc>
      </w:tr>
    </w:tbl>
    <w:p w14:paraId="388EC9B3"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068B"/>
    <w:rsid w:val="0030068B"/>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F78E"/>
  <w15:chartTrackingRefBased/>
  <w15:docId w15:val="{A37077EA-8D1D-4A68-8120-295DD036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2022-05-18T10:52:00Z</dcterms:created>
  <dcterms:modified xsi:type="dcterms:W3CDTF">2022-05-18T10:52:00Z</dcterms:modified>
</cp:coreProperties>
</file>