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3BD2" w14:textId="77777777" w:rsidR="004040A2" w:rsidRPr="00903813" w:rsidRDefault="004040A2" w:rsidP="004040A2">
      <w:pPr>
        <w:spacing w:after="0"/>
        <w:rPr>
          <w:rFonts w:ascii="Times New Roman" w:hAnsi="Times New Roman" w:cs="Times New Roman"/>
          <w:b/>
        </w:rPr>
      </w:pPr>
      <w:r w:rsidRPr="00801B7B">
        <w:rPr>
          <w:rFonts w:ascii="Times New Roman" w:hAnsi="Times New Roman" w:cs="Times New Roman"/>
          <w:b/>
        </w:rPr>
        <w:t>Paper No: PU-SOE-PHY-06</w:t>
      </w:r>
    </w:p>
    <w:p w14:paraId="3AFAA495" w14:textId="77777777" w:rsidR="004040A2" w:rsidRPr="00903813" w:rsidRDefault="004040A2" w:rsidP="00404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6"/>
          <w:szCs w:val="28"/>
        </w:rPr>
      </w:pPr>
    </w:p>
    <w:p w14:paraId="3C88B1EF" w14:textId="77777777" w:rsidR="004040A2" w:rsidRPr="00903813" w:rsidRDefault="004040A2" w:rsidP="00404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903813">
        <w:rPr>
          <w:rFonts w:ascii="Times New Roman" w:hAnsi="Times New Roman" w:cs="Times New Roman"/>
          <w:b/>
          <w:szCs w:val="28"/>
        </w:rPr>
        <w:t xml:space="preserve">Correlation </w:t>
      </w:r>
      <w:r>
        <w:rPr>
          <w:rFonts w:ascii="Times New Roman" w:hAnsi="Times New Roman" w:cs="Times New Roman"/>
          <w:b/>
          <w:szCs w:val="28"/>
        </w:rPr>
        <w:t>b</w:t>
      </w:r>
      <w:r w:rsidRPr="00903813">
        <w:rPr>
          <w:rFonts w:ascii="Times New Roman" w:hAnsi="Times New Roman" w:cs="Times New Roman"/>
          <w:b/>
          <w:szCs w:val="28"/>
        </w:rPr>
        <w:t>etween Non-Linear Optical Param</w:t>
      </w:r>
      <w:r>
        <w:rPr>
          <w:rFonts w:ascii="Times New Roman" w:hAnsi="Times New Roman" w:cs="Times New Roman"/>
          <w:b/>
          <w:szCs w:val="28"/>
        </w:rPr>
        <w:t>eter a</w:t>
      </w:r>
      <w:r w:rsidRPr="00903813">
        <w:rPr>
          <w:rFonts w:ascii="Times New Roman" w:hAnsi="Times New Roman" w:cs="Times New Roman"/>
          <w:b/>
          <w:szCs w:val="28"/>
        </w:rPr>
        <w:t>nd Structure of Li</w:t>
      </w:r>
      <w:r w:rsidRPr="00903813">
        <w:rPr>
          <w:rFonts w:ascii="Times New Roman" w:hAnsi="Times New Roman" w:cs="Times New Roman"/>
          <w:b/>
          <w:szCs w:val="28"/>
          <w:vertAlign w:val="subscript"/>
        </w:rPr>
        <w:t>2</w:t>
      </w:r>
      <w:r w:rsidRPr="00903813">
        <w:rPr>
          <w:rFonts w:ascii="Times New Roman" w:hAnsi="Times New Roman" w:cs="Times New Roman"/>
          <w:b/>
          <w:szCs w:val="28"/>
        </w:rPr>
        <w:t>B</w:t>
      </w:r>
      <w:r w:rsidRPr="00903813">
        <w:rPr>
          <w:rFonts w:ascii="Times New Roman" w:hAnsi="Times New Roman" w:cs="Times New Roman"/>
          <w:b/>
          <w:szCs w:val="28"/>
          <w:vertAlign w:val="subscript"/>
        </w:rPr>
        <w:t>4</w:t>
      </w:r>
      <w:r w:rsidRPr="00903813">
        <w:rPr>
          <w:rFonts w:ascii="Times New Roman" w:hAnsi="Times New Roman" w:cs="Times New Roman"/>
          <w:b/>
          <w:szCs w:val="28"/>
        </w:rPr>
        <w:t>O</w:t>
      </w:r>
      <w:r w:rsidRPr="00903813">
        <w:rPr>
          <w:rFonts w:ascii="Times New Roman" w:hAnsi="Times New Roman" w:cs="Times New Roman"/>
          <w:b/>
          <w:szCs w:val="28"/>
          <w:vertAlign w:val="subscript"/>
        </w:rPr>
        <w:t>7</w:t>
      </w:r>
      <w:r w:rsidRPr="00903813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Glasses Doped w</w:t>
      </w:r>
      <w:r w:rsidRPr="00903813">
        <w:rPr>
          <w:rFonts w:ascii="Times New Roman" w:hAnsi="Times New Roman" w:cs="Times New Roman"/>
          <w:b/>
          <w:szCs w:val="28"/>
        </w:rPr>
        <w:t xml:space="preserve">ith </w:t>
      </w:r>
      <w:r w:rsidRPr="00903813">
        <w:rPr>
          <w:rFonts w:ascii="Times New Roman" w:hAnsi="Times New Roman" w:cs="Times New Roman"/>
          <w:b/>
          <w:bCs/>
          <w:szCs w:val="28"/>
        </w:rPr>
        <w:t>Er</w:t>
      </w:r>
      <w:r w:rsidRPr="00903813">
        <w:rPr>
          <w:rFonts w:ascii="Times New Roman" w:hAnsi="Times New Roman" w:cs="Times New Roman"/>
          <w:b/>
          <w:szCs w:val="28"/>
          <w:vertAlign w:val="superscript"/>
        </w:rPr>
        <w:t>3</w:t>
      </w:r>
      <w:r w:rsidRPr="00903813">
        <w:rPr>
          <w:rFonts w:ascii="Times New Roman" w:hAnsi="Times New Roman" w:cs="Times New Roman"/>
          <w:b/>
          <w:i/>
          <w:iCs/>
          <w:szCs w:val="28"/>
          <w:vertAlign w:val="superscript"/>
        </w:rPr>
        <w:t>+</w:t>
      </w:r>
      <w:r w:rsidRPr="00903813">
        <w:rPr>
          <w:rFonts w:ascii="Times New Roman" w:hAnsi="Times New Roman" w:cs="Times New Roman"/>
          <w:b/>
          <w:szCs w:val="28"/>
        </w:rPr>
        <w:t>ions</w:t>
      </w:r>
    </w:p>
    <w:p w14:paraId="631EF471" w14:textId="77777777" w:rsidR="004040A2" w:rsidRPr="00903813" w:rsidRDefault="004040A2" w:rsidP="00404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6"/>
          <w:szCs w:val="28"/>
        </w:rPr>
      </w:pPr>
    </w:p>
    <w:p w14:paraId="35946BFE" w14:textId="77777777" w:rsidR="004040A2" w:rsidRPr="00903813" w:rsidRDefault="004040A2" w:rsidP="00404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16"/>
        </w:rPr>
      </w:pPr>
    </w:p>
    <w:p w14:paraId="19FFBA0E" w14:textId="77777777" w:rsidR="004040A2" w:rsidRPr="00903813" w:rsidRDefault="004040A2" w:rsidP="00404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03813">
        <w:rPr>
          <w:rFonts w:ascii="Times New Roman" w:hAnsi="Times New Roman" w:cs="Times New Roman"/>
          <w:sz w:val="16"/>
          <w:szCs w:val="16"/>
        </w:rPr>
        <w:t xml:space="preserve">G. </w:t>
      </w:r>
      <w:proofErr w:type="spellStart"/>
      <w:proofErr w:type="gramStart"/>
      <w:r w:rsidRPr="00903813">
        <w:rPr>
          <w:rFonts w:ascii="Times New Roman" w:hAnsi="Times New Roman" w:cs="Times New Roman"/>
          <w:sz w:val="16"/>
          <w:szCs w:val="16"/>
        </w:rPr>
        <w:t>Chandrashekaraiah</w:t>
      </w:r>
      <w:r w:rsidRPr="00903813">
        <w:rPr>
          <w:rFonts w:ascii="Times New Roman" w:hAnsi="Times New Roman" w:cs="Times New Roman"/>
          <w:sz w:val="16"/>
          <w:szCs w:val="16"/>
          <w:vertAlign w:val="superscript"/>
        </w:rPr>
        <w:t>a,b</w:t>
      </w:r>
      <w:proofErr w:type="spellEnd"/>
      <w:proofErr w:type="gramEnd"/>
      <w:r w:rsidRPr="00903813">
        <w:rPr>
          <w:rFonts w:ascii="Times New Roman" w:hAnsi="Times New Roman" w:cs="Times New Roman"/>
          <w:sz w:val="16"/>
          <w:szCs w:val="16"/>
        </w:rPr>
        <w:t xml:space="preserve">, A. </w:t>
      </w:r>
      <w:proofErr w:type="spellStart"/>
      <w:r w:rsidRPr="00903813">
        <w:rPr>
          <w:rFonts w:ascii="Times New Roman" w:hAnsi="Times New Roman" w:cs="Times New Roman"/>
          <w:sz w:val="16"/>
          <w:szCs w:val="16"/>
        </w:rPr>
        <w:t>Jayasheelan</w:t>
      </w:r>
      <w:r w:rsidRPr="00903813">
        <w:rPr>
          <w:rFonts w:ascii="Times New Roman" w:hAnsi="Times New Roman" w:cs="Times New Roman"/>
          <w:sz w:val="16"/>
          <w:szCs w:val="16"/>
          <w:vertAlign w:val="superscript"/>
        </w:rPr>
        <w:t>c</w:t>
      </w:r>
      <w:proofErr w:type="spellEnd"/>
      <w:r w:rsidRPr="00903813">
        <w:rPr>
          <w:rFonts w:ascii="Times New Roman" w:hAnsi="Times New Roman" w:cs="Times New Roman"/>
          <w:sz w:val="16"/>
          <w:szCs w:val="16"/>
        </w:rPr>
        <w:t xml:space="preserve">, Mangala </w:t>
      </w:r>
      <w:proofErr w:type="spellStart"/>
      <w:r w:rsidRPr="00903813">
        <w:rPr>
          <w:rFonts w:ascii="Times New Roman" w:hAnsi="Times New Roman" w:cs="Times New Roman"/>
          <w:sz w:val="16"/>
          <w:szCs w:val="16"/>
        </w:rPr>
        <w:t>Gowri</w:t>
      </w:r>
      <w:r w:rsidRPr="00903813">
        <w:rPr>
          <w:rFonts w:ascii="Times New Roman" w:hAnsi="Times New Roman" w:cs="Times New Roman"/>
          <w:sz w:val="16"/>
          <w:szCs w:val="16"/>
          <w:vertAlign w:val="superscript"/>
        </w:rPr>
        <w:t>d</w:t>
      </w:r>
      <w:proofErr w:type="spellEnd"/>
      <w:r w:rsidRPr="00903813">
        <w:rPr>
          <w:rFonts w:ascii="Times New Roman" w:hAnsi="Times New Roman" w:cs="Times New Roman"/>
          <w:sz w:val="16"/>
          <w:szCs w:val="16"/>
        </w:rPr>
        <w:t xml:space="preserve">, </w:t>
      </w:r>
      <w:r w:rsidRPr="00903813">
        <w:rPr>
          <w:rFonts w:ascii="Times New Roman" w:hAnsi="Times New Roman" w:cs="Times New Roman"/>
          <w:b/>
          <w:sz w:val="16"/>
          <w:szCs w:val="16"/>
        </w:rPr>
        <w:t xml:space="preserve">N. </w:t>
      </w:r>
      <w:proofErr w:type="spellStart"/>
      <w:r w:rsidRPr="00903813">
        <w:rPr>
          <w:rFonts w:ascii="Times New Roman" w:hAnsi="Times New Roman" w:cs="Times New Roman"/>
          <w:b/>
          <w:sz w:val="16"/>
          <w:szCs w:val="16"/>
        </w:rPr>
        <w:t>Sivasankara</w:t>
      </w:r>
      <w:proofErr w:type="spellEnd"/>
      <w:r w:rsidRPr="0090381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903813">
        <w:rPr>
          <w:rFonts w:ascii="Times New Roman" w:hAnsi="Times New Roman" w:cs="Times New Roman"/>
          <w:b/>
          <w:sz w:val="16"/>
          <w:szCs w:val="16"/>
        </w:rPr>
        <w:t>Reddy</w:t>
      </w:r>
      <w:r w:rsidRPr="00903813">
        <w:rPr>
          <w:rFonts w:ascii="Times New Roman" w:hAnsi="Times New Roman" w:cs="Times New Roman"/>
          <w:b/>
          <w:sz w:val="16"/>
          <w:szCs w:val="16"/>
          <w:vertAlign w:val="superscript"/>
        </w:rPr>
        <w:t>e</w:t>
      </w:r>
      <w:proofErr w:type="spellEnd"/>
      <w:r w:rsidRPr="00903813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Pr="00903813">
        <w:rPr>
          <w:rFonts w:ascii="Times New Roman" w:hAnsi="Times New Roman" w:cs="Times New Roman"/>
          <w:sz w:val="16"/>
          <w:szCs w:val="16"/>
        </w:rPr>
        <w:t xml:space="preserve">C. Narayana </w:t>
      </w:r>
      <w:proofErr w:type="spellStart"/>
      <w:r w:rsidRPr="00903813">
        <w:rPr>
          <w:rFonts w:ascii="Times New Roman" w:hAnsi="Times New Roman" w:cs="Times New Roman"/>
          <w:sz w:val="16"/>
          <w:szCs w:val="16"/>
        </w:rPr>
        <w:t>Reddy</w:t>
      </w:r>
      <w:r w:rsidRPr="00903813">
        <w:rPr>
          <w:rFonts w:ascii="Times New Roman" w:hAnsi="Times New Roman" w:cs="Times New Roman"/>
          <w:sz w:val="16"/>
          <w:szCs w:val="16"/>
          <w:vertAlign w:val="superscript"/>
        </w:rPr>
        <w:t>f</w:t>
      </w:r>
      <w:proofErr w:type="spellEnd"/>
      <w:r w:rsidRPr="00903813">
        <w:rPr>
          <w:rFonts w:ascii="Times New Roman" w:hAnsi="Times New Roman" w:cs="Times New Roman"/>
          <w:sz w:val="16"/>
          <w:szCs w:val="16"/>
        </w:rPr>
        <w:t>,</w:t>
      </w:r>
    </w:p>
    <w:p w14:paraId="02916935" w14:textId="77777777" w:rsidR="004040A2" w:rsidRPr="00903813" w:rsidRDefault="004040A2" w:rsidP="00404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903813">
        <w:rPr>
          <w:rFonts w:ascii="Times New Roman" w:hAnsi="Times New Roman" w:cs="Times New Roman"/>
          <w:sz w:val="16"/>
          <w:szCs w:val="16"/>
          <w:vertAlign w:val="superscript"/>
        </w:rPr>
        <w:t xml:space="preserve">a. </w:t>
      </w:r>
      <w:r w:rsidRPr="00903813">
        <w:rPr>
          <w:rFonts w:ascii="Times New Roman" w:hAnsi="Times New Roman" w:cs="Times New Roman"/>
          <w:iCs/>
          <w:sz w:val="16"/>
          <w:szCs w:val="16"/>
        </w:rPr>
        <w:t xml:space="preserve">R&amp;D Center, </w:t>
      </w:r>
      <w:proofErr w:type="spellStart"/>
      <w:r w:rsidRPr="00903813">
        <w:rPr>
          <w:rFonts w:ascii="Times New Roman" w:hAnsi="Times New Roman" w:cs="Times New Roman"/>
          <w:iCs/>
          <w:sz w:val="16"/>
          <w:szCs w:val="16"/>
        </w:rPr>
        <w:t>Bharatiar</w:t>
      </w:r>
      <w:proofErr w:type="spellEnd"/>
      <w:r w:rsidRPr="00903813">
        <w:rPr>
          <w:rFonts w:ascii="Times New Roman" w:hAnsi="Times New Roman" w:cs="Times New Roman"/>
          <w:iCs/>
          <w:sz w:val="16"/>
          <w:szCs w:val="16"/>
        </w:rPr>
        <w:t xml:space="preserve"> University, Coimbatore, Tamil Nadu, 641046, India</w:t>
      </w:r>
    </w:p>
    <w:p w14:paraId="1F7DB99F" w14:textId="77777777" w:rsidR="004040A2" w:rsidRPr="00903813" w:rsidRDefault="004040A2" w:rsidP="00404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903813">
        <w:rPr>
          <w:rFonts w:ascii="Times New Roman" w:hAnsi="Times New Roman" w:cs="Times New Roman"/>
          <w:sz w:val="16"/>
          <w:szCs w:val="16"/>
          <w:vertAlign w:val="superscript"/>
        </w:rPr>
        <w:t xml:space="preserve">b. </w:t>
      </w:r>
      <w:r w:rsidRPr="00903813">
        <w:rPr>
          <w:rFonts w:ascii="Times New Roman" w:hAnsi="Times New Roman" w:cs="Times New Roman"/>
          <w:iCs/>
          <w:sz w:val="16"/>
          <w:szCs w:val="16"/>
        </w:rPr>
        <w:t xml:space="preserve">Department of Physics, Government First Grade College, </w:t>
      </w:r>
      <w:proofErr w:type="spellStart"/>
      <w:r w:rsidRPr="00903813">
        <w:rPr>
          <w:rFonts w:ascii="Times New Roman" w:hAnsi="Times New Roman" w:cs="Times New Roman"/>
          <w:iCs/>
          <w:sz w:val="16"/>
          <w:szCs w:val="16"/>
        </w:rPr>
        <w:t>Kunigal</w:t>
      </w:r>
      <w:proofErr w:type="spellEnd"/>
      <w:r w:rsidRPr="00903813">
        <w:rPr>
          <w:rFonts w:ascii="Times New Roman" w:hAnsi="Times New Roman" w:cs="Times New Roman"/>
          <w:iCs/>
          <w:sz w:val="16"/>
          <w:szCs w:val="16"/>
        </w:rPr>
        <w:t xml:space="preserve">, </w:t>
      </w:r>
      <w:proofErr w:type="spellStart"/>
      <w:r w:rsidRPr="00903813">
        <w:rPr>
          <w:rFonts w:ascii="Times New Roman" w:hAnsi="Times New Roman" w:cs="Times New Roman"/>
          <w:iCs/>
          <w:sz w:val="16"/>
          <w:szCs w:val="16"/>
        </w:rPr>
        <w:t>Tumkur</w:t>
      </w:r>
      <w:proofErr w:type="spellEnd"/>
      <w:r w:rsidRPr="00903813">
        <w:rPr>
          <w:rFonts w:ascii="Times New Roman" w:hAnsi="Times New Roman" w:cs="Times New Roman"/>
          <w:iCs/>
          <w:sz w:val="16"/>
          <w:szCs w:val="16"/>
        </w:rPr>
        <w:t xml:space="preserve"> 572130, India</w:t>
      </w:r>
    </w:p>
    <w:p w14:paraId="3546D86A" w14:textId="77777777" w:rsidR="004040A2" w:rsidRPr="00903813" w:rsidRDefault="004040A2" w:rsidP="00404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903813">
        <w:rPr>
          <w:rFonts w:ascii="Times New Roman" w:hAnsi="Times New Roman" w:cs="Times New Roman"/>
          <w:sz w:val="16"/>
          <w:szCs w:val="16"/>
          <w:vertAlign w:val="superscript"/>
        </w:rPr>
        <w:t xml:space="preserve">c. </w:t>
      </w:r>
      <w:r w:rsidRPr="00903813">
        <w:rPr>
          <w:rFonts w:ascii="Times New Roman" w:hAnsi="Times New Roman" w:cs="Times New Roman"/>
          <w:iCs/>
          <w:sz w:val="16"/>
          <w:szCs w:val="16"/>
        </w:rPr>
        <w:t>Department of Physics, Maharani Science College for Women, Bangalore 560001, India</w:t>
      </w:r>
    </w:p>
    <w:p w14:paraId="79E92835" w14:textId="77777777" w:rsidR="004040A2" w:rsidRPr="00903813" w:rsidRDefault="004040A2" w:rsidP="00404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903813">
        <w:rPr>
          <w:rFonts w:ascii="Times New Roman" w:hAnsi="Times New Roman" w:cs="Times New Roman"/>
          <w:sz w:val="16"/>
          <w:szCs w:val="16"/>
          <w:vertAlign w:val="superscript"/>
        </w:rPr>
        <w:t xml:space="preserve">d. </w:t>
      </w:r>
      <w:r w:rsidRPr="00903813">
        <w:rPr>
          <w:rFonts w:ascii="Times New Roman" w:hAnsi="Times New Roman" w:cs="Times New Roman"/>
          <w:iCs/>
          <w:sz w:val="16"/>
          <w:szCs w:val="16"/>
        </w:rPr>
        <w:t xml:space="preserve">Department of Physics, University College of Science, </w:t>
      </w:r>
      <w:proofErr w:type="spellStart"/>
      <w:r w:rsidRPr="00903813">
        <w:rPr>
          <w:rFonts w:ascii="Times New Roman" w:hAnsi="Times New Roman" w:cs="Times New Roman"/>
          <w:iCs/>
          <w:sz w:val="16"/>
          <w:szCs w:val="16"/>
        </w:rPr>
        <w:t>Tumkukr</w:t>
      </w:r>
      <w:proofErr w:type="spellEnd"/>
      <w:r w:rsidRPr="00903813">
        <w:rPr>
          <w:rFonts w:ascii="Times New Roman" w:hAnsi="Times New Roman" w:cs="Times New Roman"/>
          <w:iCs/>
          <w:sz w:val="16"/>
          <w:szCs w:val="16"/>
        </w:rPr>
        <w:t xml:space="preserve"> 562002, India</w:t>
      </w:r>
    </w:p>
    <w:p w14:paraId="00B860F5" w14:textId="77777777" w:rsidR="004040A2" w:rsidRPr="00903813" w:rsidRDefault="004040A2" w:rsidP="00404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  <w:r w:rsidRPr="00903813">
        <w:rPr>
          <w:rFonts w:ascii="Times New Roman" w:hAnsi="Times New Roman" w:cs="Times New Roman"/>
          <w:sz w:val="16"/>
          <w:szCs w:val="16"/>
          <w:vertAlign w:val="superscript"/>
        </w:rPr>
        <w:t xml:space="preserve">e. </w:t>
      </w:r>
      <w:r w:rsidRPr="00903813">
        <w:rPr>
          <w:rFonts w:ascii="Times New Roman" w:hAnsi="Times New Roman" w:cs="Times New Roman"/>
          <w:b/>
          <w:iCs/>
          <w:sz w:val="16"/>
          <w:szCs w:val="16"/>
        </w:rPr>
        <w:t>Department of Physics, School of Engineering, Presidency University, Bangalore 560064, India</w:t>
      </w:r>
    </w:p>
    <w:p w14:paraId="3C6C5977" w14:textId="77777777" w:rsidR="004040A2" w:rsidRPr="00903813" w:rsidRDefault="004040A2" w:rsidP="004040A2">
      <w:pPr>
        <w:spacing w:after="0" w:line="240" w:lineRule="auto"/>
        <w:rPr>
          <w:rFonts w:ascii="Times New Roman" w:hAnsi="Times New Roman" w:cs="Times New Roman"/>
          <w:b/>
          <w:color w:val="ED7D31" w:themeColor="accent2"/>
          <w:sz w:val="16"/>
          <w:szCs w:val="16"/>
        </w:rPr>
      </w:pPr>
      <w:r w:rsidRPr="00903813">
        <w:rPr>
          <w:rFonts w:ascii="Times New Roman" w:hAnsi="Times New Roman" w:cs="Times New Roman"/>
          <w:sz w:val="16"/>
          <w:szCs w:val="16"/>
          <w:vertAlign w:val="superscript"/>
        </w:rPr>
        <w:t xml:space="preserve">f. </w:t>
      </w:r>
      <w:r w:rsidRPr="00903813">
        <w:rPr>
          <w:rFonts w:ascii="Times New Roman" w:hAnsi="Times New Roman" w:cs="Times New Roman"/>
          <w:iCs/>
          <w:sz w:val="16"/>
          <w:szCs w:val="16"/>
        </w:rPr>
        <w:t>Department of Physics, PES University, Bangalore 560050, India</w:t>
      </w:r>
    </w:p>
    <w:p w14:paraId="23B1087E" w14:textId="77777777" w:rsidR="004040A2" w:rsidRPr="00903813" w:rsidRDefault="004040A2" w:rsidP="004040A2">
      <w:pPr>
        <w:spacing w:after="0" w:line="240" w:lineRule="auto"/>
        <w:jc w:val="center"/>
        <w:rPr>
          <w:rFonts w:ascii="Times New Roman" w:hAnsi="Times New Roman" w:cs="Times New Roman"/>
          <w:b/>
          <w:sz w:val="8"/>
        </w:rPr>
      </w:pPr>
    </w:p>
    <w:p w14:paraId="599F9C0B" w14:textId="77777777" w:rsidR="004040A2" w:rsidRPr="00903813" w:rsidRDefault="004040A2" w:rsidP="004040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3813">
        <w:rPr>
          <w:rFonts w:ascii="Times New Roman" w:hAnsi="Times New Roman" w:cs="Times New Roman"/>
          <w:b/>
        </w:rPr>
        <w:t>Abstract</w:t>
      </w:r>
    </w:p>
    <w:p w14:paraId="5B323CC4" w14:textId="77777777" w:rsidR="004040A2" w:rsidRPr="00903813" w:rsidRDefault="004040A2" w:rsidP="004040A2">
      <w:pPr>
        <w:spacing w:after="0" w:line="276" w:lineRule="auto"/>
        <w:jc w:val="center"/>
        <w:rPr>
          <w:rFonts w:ascii="Times New Roman" w:hAnsi="Times New Roman" w:cs="Times New Roman"/>
          <w:b/>
          <w:sz w:val="6"/>
        </w:rPr>
      </w:pPr>
    </w:p>
    <w:p w14:paraId="31522530" w14:textId="77777777" w:rsidR="004040A2" w:rsidRPr="00903813" w:rsidRDefault="004040A2" w:rsidP="004040A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185D33">
        <w:rPr>
          <w:rFonts w:ascii="Times New Roman" w:hAnsi="Times New Roman" w:cs="Times New Roman"/>
          <w:sz w:val="18"/>
        </w:rPr>
        <w:t>The glass system 90 Li</w:t>
      </w:r>
      <w:r w:rsidRPr="00185D33">
        <w:rPr>
          <w:rFonts w:ascii="Times New Roman" w:hAnsi="Times New Roman" w:cs="Times New Roman"/>
          <w:sz w:val="18"/>
          <w:vertAlign w:val="subscript"/>
        </w:rPr>
        <w:t>2</w:t>
      </w:r>
      <w:r w:rsidRPr="00185D33">
        <w:rPr>
          <w:rFonts w:ascii="Times New Roman" w:hAnsi="Times New Roman" w:cs="Times New Roman"/>
          <w:sz w:val="18"/>
        </w:rPr>
        <w:t>B</w:t>
      </w:r>
      <w:r w:rsidRPr="00185D33">
        <w:rPr>
          <w:rFonts w:ascii="Times New Roman" w:hAnsi="Times New Roman" w:cs="Times New Roman"/>
          <w:sz w:val="18"/>
          <w:vertAlign w:val="subscript"/>
        </w:rPr>
        <w:t>4</w:t>
      </w:r>
      <w:r w:rsidRPr="00185D33">
        <w:rPr>
          <w:rFonts w:ascii="Times New Roman" w:hAnsi="Times New Roman" w:cs="Times New Roman"/>
          <w:sz w:val="18"/>
        </w:rPr>
        <w:t>O</w:t>
      </w:r>
      <w:r w:rsidRPr="00185D33">
        <w:rPr>
          <w:rFonts w:ascii="Times New Roman" w:hAnsi="Times New Roman" w:cs="Times New Roman"/>
          <w:sz w:val="18"/>
          <w:vertAlign w:val="subscript"/>
        </w:rPr>
        <w:t>7</w:t>
      </w:r>
      <w:r w:rsidRPr="00185D33">
        <w:rPr>
          <w:rFonts w:ascii="Times New Roman" w:hAnsi="Times New Roman" w:cs="Times New Roman"/>
          <w:sz w:val="18"/>
        </w:rPr>
        <w:t xml:space="preserve"> </w:t>
      </w:r>
      <w:r w:rsidRPr="00185D33">
        <w:rPr>
          <w:rFonts w:ascii="Times New Roman" w:hAnsi="Times New Roman" w:cs="Times New Roman"/>
          <w:i/>
          <w:iCs/>
          <w:sz w:val="18"/>
        </w:rPr>
        <w:t xml:space="preserve">+ x </w:t>
      </w:r>
      <w:r w:rsidRPr="00185D33">
        <w:rPr>
          <w:rFonts w:ascii="Times New Roman" w:hAnsi="Times New Roman" w:cs="Times New Roman"/>
          <w:sz w:val="18"/>
        </w:rPr>
        <w:t>Er</w:t>
      </w:r>
      <w:r w:rsidRPr="00185D33">
        <w:rPr>
          <w:rFonts w:ascii="Times New Roman" w:hAnsi="Times New Roman" w:cs="Times New Roman"/>
          <w:sz w:val="18"/>
          <w:vertAlign w:val="subscript"/>
        </w:rPr>
        <w:t>2</w:t>
      </w:r>
      <w:r w:rsidRPr="00185D33">
        <w:rPr>
          <w:rFonts w:ascii="Times New Roman" w:hAnsi="Times New Roman" w:cs="Times New Roman"/>
          <w:sz w:val="18"/>
        </w:rPr>
        <w:t>O</w:t>
      </w:r>
      <w:r w:rsidRPr="00185D33">
        <w:rPr>
          <w:rFonts w:ascii="Times New Roman" w:hAnsi="Times New Roman" w:cs="Times New Roman"/>
          <w:sz w:val="18"/>
          <w:vertAlign w:val="subscript"/>
        </w:rPr>
        <w:t>3</w:t>
      </w:r>
      <w:r w:rsidRPr="00185D33">
        <w:rPr>
          <w:rFonts w:ascii="Times New Roman" w:hAnsi="Times New Roman" w:cs="Times New Roman"/>
          <w:sz w:val="18"/>
        </w:rPr>
        <w:t xml:space="preserve"> </w:t>
      </w:r>
      <w:r w:rsidRPr="00185D33">
        <w:rPr>
          <w:rFonts w:ascii="Times New Roman" w:hAnsi="Times New Roman" w:cs="Times New Roman"/>
          <w:i/>
          <w:iCs/>
          <w:sz w:val="18"/>
        </w:rPr>
        <w:t xml:space="preserve">+ </w:t>
      </w:r>
      <w:r w:rsidRPr="00185D33">
        <w:rPr>
          <w:rFonts w:ascii="Times New Roman" w:hAnsi="Times New Roman" w:cs="Times New Roman"/>
          <w:sz w:val="18"/>
        </w:rPr>
        <w:t xml:space="preserve">(10 </w:t>
      </w:r>
      <w:r w:rsidRPr="00185D33">
        <w:rPr>
          <w:rFonts w:ascii="Times New Roman" w:hAnsi="Times New Roman" w:cs="Times New Roman"/>
          <w:i/>
          <w:iCs/>
          <w:sz w:val="18"/>
        </w:rPr>
        <w:t>x</w:t>
      </w:r>
      <w:r w:rsidRPr="00185D33">
        <w:rPr>
          <w:rFonts w:ascii="Times New Roman" w:hAnsi="Times New Roman" w:cs="Times New Roman"/>
          <w:sz w:val="18"/>
        </w:rPr>
        <w:t>) BiCl</w:t>
      </w:r>
      <w:r w:rsidRPr="00185D33">
        <w:rPr>
          <w:rFonts w:ascii="Times New Roman" w:hAnsi="Times New Roman" w:cs="Times New Roman"/>
          <w:sz w:val="18"/>
          <w:vertAlign w:val="subscript"/>
        </w:rPr>
        <w:t>3</w:t>
      </w:r>
      <w:r w:rsidRPr="00185D33">
        <w:rPr>
          <w:rFonts w:ascii="Times New Roman" w:hAnsi="Times New Roman" w:cs="Times New Roman"/>
          <w:sz w:val="18"/>
        </w:rPr>
        <w:t xml:space="preserve">, where 0.1 ≤ </w:t>
      </w:r>
      <w:r w:rsidRPr="00185D33">
        <w:rPr>
          <w:rFonts w:ascii="Times New Roman" w:hAnsi="Times New Roman" w:cs="Times New Roman"/>
          <w:i/>
          <w:iCs/>
          <w:sz w:val="18"/>
        </w:rPr>
        <w:t xml:space="preserve">x </w:t>
      </w:r>
      <w:r w:rsidRPr="00185D33">
        <w:rPr>
          <w:rFonts w:ascii="Times New Roman" w:hAnsi="Times New Roman" w:cs="Times New Roman"/>
          <w:sz w:val="18"/>
        </w:rPr>
        <w:t>≤ 0.5 mol%, has been synthesized by melt quenching technique. The Judd-</w:t>
      </w:r>
      <w:proofErr w:type="spellStart"/>
      <w:r w:rsidRPr="00185D33">
        <w:rPr>
          <w:rFonts w:ascii="Times New Roman" w:hAnsi="Times New Roman" w:cs="Times New Roman"/>
          <w:sz w:val="18"/>
        </w:rPr>
        <w:t>Ofelt</w:t>
      </w:r>
      <w:proofErr w:type="spellEnd"/>
      <w:r w:rsidRPr="00185D33">
        <w:rPr>
          <w:rFonts w:ascii="Times New Roman" w:hAnsi="Times New Roman" w:cs="Times New Roman"/>
          <w:sz w:val="18"/>
        </w:rPr>
        <w:t xml:space="preserve"> (JO) theory has been initiated for the precise analysis of the peak intensities. The JO parameter Ω</w:t>
      </w:r>
      <w:r w:rsidRPr="00185D33">
        <w:rPr>
          <w:rFonts w:ascii="Times New Roman" w:hAnsi="Times New Roman" w:cs="Times New Roman"/>
          <w:sz w:val="18"/>
          <w:vertAlign w:val="subscript"/>
        </w:rPr>
        <w:t>2</w:t>
      </w:r>
      <w:r w:rsidRPr="00185D33">
        <w:rPr>
          <w:rFonts w:ascii="Times New Roman" w:hAnsi="Times New Roman" w:cs="Times New Roman"/>
          <w:sz w:val="18"/>
        </w:rPr>
        <w:t>, which represents asymmetry and covalency of the emission environment increases with increase in Er</w:t>
      </w:r>
      <w:r w:rsidRPr="00185D33">
        <w:rPr>
          <w:rFonts w:ascii="Times New Roman" w:hAnsi="Times New Roman" w:cs="Times New Roman"/>
          <w:sz w:val="18"/>
          <w:vertAlign w:val="superscript"/>
        </w:rPr>
        <w:t>3+</w:t>
      </w:r>
      <w:r w:rsidRPr="00185D33">
        <w:rPr>
          <w:rFonts w:ascii="Times New Roman" w:hAnsi="Times New Roman" w:cs="Times New Roman"/>
          <w:sz w:val="18"/>
        </w:rPr>
        <w:t xml:space="preserve"> ions, while Ω</w:t>
      </w:r>
      <w:r w:rsidRPr="00185D33">
        <w:rPr>
          <w:rFonts w:ascii="Times New Roman" w:hAnsi="Times New Roman" w:cs="Times New Roman"/>
          <w:sz w:val="18"/>
          <w:vertAlign w:val="subscript"/>
        </w:rPr>
        <w:t>4</w:t>
      </w:r>
      <w:r w:rsidRPr="00185D33">
        <w:rPr>
          <w:rFonts w:ascii="Times New Roman" w:hAnsi="Times New Roman" w:cs="Times New Roman"/>
          <w:sz w:val="18"/>
        </w:rPr>
        <w:t xml:space="preserve"> and Ω</w:t>
      </w:r>
      <w:r w:rsidRPr="00185D33">
        <w:rPr>
          <w:rFonts w:ascii="Times New Roman" w:hAnsi="Times New Roman" w:cs="Times New Roman"/>
          <w:sz w:val="18"/>
          <w:vertAlign w:val="subscript"/>
        </w:rPr>
        <w:t>6</w:t>
      </w:r>
      <w:r w:rsidRPr="00185D33">
        <w:rPr>
          <w:rFonts w:ascii="Times New Roman" w:hAnsi="Times New Roman" w:cs="Times New Roman"/>
          <w:sz w:val="18"/>
        </w:rPr>
        <w:t xml:space="preserve"> reveal the rigidity of the host medium. Radiative parameters such as </w:t>
      </w:r>
      <w:proofErr w:type="spellStart"/>
      <w:r w:rsidRPr="00185D33">
        <w:rPr>
          <w:rFonts w:ascii="Times New Roman" w:hAnsi="Times New Roman" w:cs="Times New Roman"/>
          <w:i/>
          <w:iCs/>
          <w:sz w:val="18"/>
        </w:rPr>
        <w:t>τ</w:t>
      </w:r>
      <w:r w:rsidRPr="00185D33">
        <w:rPr>
          <w:rFonts w:ascii="Times New Roman" w:hAnsi="Times New Roman" w:cs="Times New Roman"/>
          <w:sz w:val="18"/>
          <w:vertAlign w:val="subscript"/>
        </w:rPr>
        <w:t>R</w:t>
      </w:r>
      <w:proofErr w:type="spellEnd"/>
      <w:r w:rsidRPr="00185D33">
        <w:rPr>
          <w:rFonts w:ascii="Times New Roman" w:hAnsi="Times New Roman" w:cs="Times New Roman"/>
          <w:sz w:val="18"/>
        </w:rPr>
        <w:t>, A</w:t>
      </w:r>
      <w:r w:rsidRPr="00185D33">
        <w:rPr>
          <w:rFonts w:ascii="Times New Roman" w:hAnsi="Times New Roman" w:cs="Times New Roman"/>
          <w:sz w:val="18"/>
          <w:vertAlign w:val="subscript"/>
        </w:rPr>
        <w:t>R</w:t>
      </w:r>
      <w:r w:rsidRPr="00185D33">
        <w:rPr>
          <w:rFonts w:ascii="Times New Roman" w:hAnsi="Times New Roman" w:cs="Times New Roman"/>
          <w:sz w:val="18"/>
        </w:rPr>
        <w:t xml:space="preserve">, </w:t>
      </w:r>
      <w:r w:rsidRPr="00185D33">
        <w:rPr>
          <w:rFonts w:ascii="Times New Roman" w:hAnsi="Times New Roman" w:cs="Times New Roman"/>
          <w:i/>
          <w:iCs/>
          <w:sz w:val="18"/>
        </w:rPr>
        <w:t>β</w:t>
      </w:r>
      <w:r w:rsidRPr="00185D33">
        <w:rPr>
          <w:rFonts w:ascii="Times New Roman" w:hAnsi="Times New Roman" w:cs="Times New Roman"/>
          <w:sz w:val="18"/>
          <w:vertAlign w:val="subscript"/>
        </w:rPr>
        <w:t>R</w:t>
      </w:r>
      <w:r w:rsidRPr="00185D33">
        <w:rPr>
          <w:rFonts w:ascii="Times New Roman" w:hAnsi="Times New Roman" w:cs="Times New Roman"/>
          <w:sz w:val="18"/>
        </w:rPr>
        <w:t xml:space="preserve">, FOM, and </w:t>
      </w:r>
      <w:proofErr w:type="spellStart"/>
      <w:r w:rsidRPr="00185D33">
        <w:rPr>
          <w:rFonts w:ascii="Times New Roman" w:hAnsi="Times New Roman" w:cs="Times New Roman"/>
          <w:i/>
          <w:iCs/>
          <w:sz w:val="18"/>
        </w:rPr>
        <w:t>σ</w:t>
      </w:r>
      <w:r w:rsidRPr="00185D33">
        <w:rPr>
          <w:rFonts w:ascii="Times New Roman" w:hAnsi="Times New Roman" w:cs="Times New Roman"/>
          <w:sz w:val="18"/>
          <w:vertAlign w:val="subscript"/>
        </w:rPr>
        <w:t>R</w:t>
      </w:r>
      <w:proofErr w:type="spellEnd"/>
      <w:r w:rsidRPr="00185D33">
        <w:rPr>
          <w:rFonts w:ascii="Times New Roman" w:hAnsi="Times New Roman" w:cs="Times New Roman"/>
          <w:sz w:val="18"/>
        </w:rPr>
        <w:t xml:space="preserve"> have been calculated. The photometric studies, CIE &amp; CCT studies confirm that, for all the investigated glasses CIE coordinated diagram is found to be white light. CCT graph which gives white light emission around 10000K. Two photon absorption </w:t>
      </w:r>
      <w:proofErr w:type="gramStart"/>
      <w:r w:rsidRPr="00185D33">
        <w:rPr>
          <w:rFonts w:ascii="Times New Roman" w:hAnsi="Times New Roman" w:cs="Times New Roman"/>
          <w:sz w:val="18"/>
        </w:rPr>
        <w:t>coefficient</w:t>
      </w:r>
      <w:proofErr w:type="gramEnd"/>
      <w:r w:rsidRPr="00185D33">
        <w:rPr>
          <w:rFonts w:ascii="Times New Roman" w:hAnsi="Times New Roman" w:cs="Times New Roman"/>
          <w:sz w:val="18"/>
        </w:rPr>
        <w:t xml:space="preserve"> (TPA) of Er</w:t>
      </w:r>
      <w:r w:rsidRPr="00185D33">
        <w:rPr>
          <w:rFonts w:ascii="Times New Roman" w:hAnsi="Times New Roman" w:cs="Times New Roman"/>
          <w:sz w:val="18"/>
          <w:vertAlign w:val="superscript"/>
        </w:rPr>
        <w:t>3</w:t>
      </w:r>
      <w:r w:rsidRPr="00185D33">
        <w:rPr>
          <w:rFonts w:ascii="Times New Roman" w:hAnsi="Times New Roman" w:cs="Times New Roman"/>
          <w:i/>
          <w:iCs/>
          <w:sz w:val="18"/>
          <w:vertAlign w:val="superscript"/>
        </w:rPr>
        <w:t>+</w:t>
      </w:r>
      <w:r w:rsidRPr="00185D33">
        <w:rPr>
          <w:rFonts w:ascii="Times New Roman" w:hAnsi="Times New Roman" w:cs="Times New Roman"/>
          <w:i/>
          <w:iCs/>
          <w:sz w:val="18"/>
        </w:rPr>
        <w:t xml:space="preserve"> </w:t>
      </w:r>
      <w:r w:rsidRPr="00185D33">
        <w:rPr>
          <w:rFonts w:ascii="Times New Roman" w:hAnsi="Times New Roman" w:cs="Times New Roman"/>
          <w:sz w:val="18"/>
        </w:rPr>
        <w:t xml:space="preserve">doped glasses lie in the range of 7.491 to 8.868. Glasses with highest TPA shows low </w:t>
      </w:r>
      <w:proofErr w:type="spellStart"/>
      <w:r w:rsidRPr="00185D33">
        <w:rPr>
          <w:rFonts w:ascii="Times New Roman" w:hAnsi="Times New Roman" w:cs="Times New Roman"/>
          <w:sz w:val="18"/>
        </w:rPr>
        <w:t>Eg</w:t>
      </w:r>
      <w:proofErr w:type="spellEnd"/>
      <w:r w:rsidRPr="00185D33">
        <w:rPr>
          <w:rFonts w:ascii="Times New Roman" w:hAnsi="Times New Roman" w:cs="Times New Roman"/>
          <w:sz w:val="18"/>
        </w:rPr>
        <w:t xml:space="preserve"> values indicating a large density of states of O</w:t>
      </w:r>
      <w:r w:rsidRPr="00185D33">
        <w:rPr>
          <w:rFonts w:ascii="Times New Roman" w:hAnsi="Times New Roman" w:cs="Times New Roman"/>
          <w:sz w:val="18"/>
          <w:vertAlign w:val="superscript"/>
        </w:rPr>
        <w:t>2-</w:t>
      </w:r>
      <w:r w:rsidRPr="00185D33">
        <w:rPr>
          <w:rFonts w:ascii="Times New Roman" w:hAnsi="Times New Roman" w:cs="Times New Roman"/>
          <w:sz w:val="18"/>
        </w:rPr>
        <w:t xml:space="preserve"> in highest occupied molecular orbitals.</w:t>
      </w:r>
    </w:p>
    <w:p w14:paraId="37697130" w14:textId="77777777" w:rsidR="004040A2" w:rsidRPr="003B5581" w:rsidRDefault="004040A2" w:rsidP="004040A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"/>
        </w:rPr>
      </w:pPr>
    </w:p>
    <w:p w14:paraId="6328149A" w14:textId="77777777" w:rsidR="004040A2" w:rsidRPr="00903813" w:rsidRDefault="004040A2" w:rsidP="004040A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Keywords:</w:t>
      </w:r>
    </w:p>
    <w:p w14:paraId="13AB53CE" w14:textId="77777777" w:rsidR="004040A2" w:rsidRPr="00903813" w:rsidRDefault="004040A2" w:rsidP="00404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903813">
        <w:rPr>
          <w:rFonts w:ascii="Times New Roman" w:hAnsi="Times New Roman" w:cs="Times New Roman"/>
          <w:sz w:val="20"/>
        </w:rPr>
        <w:t>Judd-</w:t>
      </w:r>
      <w:proofErr w:type="spellStart"/>
      <w:r w:rsidRPr="00903813">
        <w:rPr>
          <w:rFonts w:ascii="Times New Roman" w:hAnsi="Times New Roman" w:cs="Times New Roman"/>
          <w:sz w:val="20"/>
        </w:rPr>
        <w:t>Ofelt</w:t>
      </w:r>
      <w:proofErr w:type="spellEnd"/>
      <w:r w:rsidRPr="00903813">
        <w:rPr>
          <w:rFonts w:ascii="Times New Roman" w:hAnsi="Times New Roman" w:cs="Times New Roman"/>
          <w:sz w:val="20"/>
        </w:rPr>
        <w:t xml:space="preserve"> parameter, Raman study, IR study, Photoluminescence, Borate glasses</w:t>
      </w:r>
    </w:p>
    <w:p w14:paraId="2EBAC2FB" w14:textId="77777777" w:rsidR="004040A2" w:rsidRPr="00903813" w:rsidRDefault="004040A2" w:rsidP="004040A2">
      <w:pPr>
        <w:spacing w:after="0" w:line="240" w:lineRule="auto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Publication Details:</w:t>
      </w: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2610"/>
        <w:gridCol w:w="900"/>
        <w:gridCol w:w="1717"/>
        <w:gridCol w:w="1047"/>
        <w:gridCol w:w="1376"/>
        <w:gridCol w:w="1800"/>
      </w:tblGrid>
      <w:tr w:rsidR="004040A2" w:rsidRPr="00D97446" w14:paraId="1957340E" w14:textId="77777777" w:rsidTr="00673108">
        <w:trPr>
          <w:trHeight w:val="306"/>
        </w:trPr>
        <w:tc>
          <w:tcPr>
            <w:tcW w:w="2610" w:type="dxa"/>
            <w:shd w:val="clear" w:color="auto" w:fill="auto"/>
            <w:noWrap/>
            <w:hideMark/>
          </w:tcPr>
          <w:p w14:paraId="4DD6D30D" w14:textId="77777777" w:rsidR="004040A2" w:rsidRPr="00903813" w:rsidRDefault="004040A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9038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Journal Name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56B7895" w14:textId="77777777" w:rsidR="004040A2" w:rsidRPr="00903813" w:rsidRDefault="004040A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9038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Vol.</w:t>
            </w:r>
          </w:p>
        </w:tc>
        <w:tc>
          <w:tcPr>
            <w:tcW w:w="1717" w:type="dxa"/>
            <w:shd w:val="clear" w:color="auto" w:fill="auto"/>
            <w:hideMark/>
          </w:tcPr>
          <w:p w14:paraId="46FDC452" w14:textId="77777777" w:rsidR="004040A2" w:rsidRPr="00903813" w:rsidRDefault="004040A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9038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Month </w:t>
            </w:r>
            <w:proofErr w:type="gramStart"/>
            <w:r w:rsidRPr="009038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&amp;  Year</w:t>
            </w:r>
            <w:proofErr w:type="gramEnd"/>
            <w:r w:rsidRPr="009038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14:paraId="10614F9D" w14:textId="77777777" w:rsidR="004040A2" w:rsidRPr="00903813" w:rsidRDefault="004040A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9038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Page No.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14:paraId="0037FB01" w14:textId="77777777" w:rsidR="004040A2" w:rsidRPr="00903813" w:rsidRDefault="004040A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9038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Publisher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EA4F4FB" w14:textId="77777777" w:rsidR="004040A2" w:rsidRPr="00903813" w:rsidRDefault="004040A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proofErr w:type="spellStart"/>
            <w:r w:rsidRPr="009038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Scimago</w:t>
            </w:r>
            <w:proofErr w:type="spellEnd"/>
            <w:r w:rsidRPr="009038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Ranking</w:t>
            </w:r>
          </w:p>
        </w:tc>
      </w:tr>
      <w:tr w:rsidR="004040A2" w:rsidRPr="00D97446" w14:paraId="28454061" w14:textId="77777777" w:rsidTr="00673108">
        <w:trPr>
          <w:trHeight w:val="333"/>
        </w:trPr>
        <w:tc>
          <w:tcPr>
            <w:tcW w:w="2610" w:type="dxa"/>
            <w:shd w:val="clear" w:color="auto" w:fill="auto"/>
            <w:noWrap/>
          </w:tcPr>
          <w:p w14:paraId="4174AA1E" w14:textId="77777777" w:rsidR="004040A2" w:rsidRPr="00903813" w:rsidRDefault="004040A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0"/>
                <w:szCs w:val="24"/>
              </w:rPr>
            </w:pPr>
            <w:r w:rsidRPr="00903813">
              <w:rPr>
                <w:rFonts w:ascii="Times New Roman" w:hAnsi="Times New Roman" w:cs="Times New Roman"/>
                <w:sz w:val="20"/>
                <w:szCs w:val="24"/>
              </w:rPr>
              <w:t>Journal of Non-Crystalline Solids</w:t>
            </w:r>
          </w:p>
        </w:tc>
        <w:tc>
          <w:tcPr>
            <w:tcW w:w="900" w:type="dxa"/>
            <w:shd w:val="clear" w:color="auto" w:fill="auto"/>
            <w:noWrap/>
          </w:tcPr>
          <w:p w14:paraId="33AF211C" w14:textId="77777777" w:rsidR="004040A2" w:rsidRPr="00903813" w:rsidRDefault="004040A2" w:rsidP="00673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813">
              <w:rPr>
                <w:rFonts w:ascii="Times New Roman" w:hAnsi="Times New Roman" w:cs="Times New Roman"/>
                <w:color w:val="000000"/>
                <w:sz w:val="20"/>
              </w:rPr>
              <w:t>531</w:t>
            </w:r>
          </w:p>
          <w:p w14:paraId="6095EB56" w14:textId="77777777" w:rsidR="004040A2" w:rsidRPr="00903813" w:rsidRDefault="004040A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0"/>
              </w:rPr>
            </w:pPr>
          </w:p>
        </w:tc>
        <w:tc>
          <w:tcPr>
            <w:tcW w:w="1717" w:type="dxa"/>
            <w:shd w:val="clear" w:color="auto" w:fill="auto"/>
          </w:tcPr>
          <w:p w14:paraId="72723CF9" w14:textId="77777777" w:rsidR="004040A2" w:rsidRPr="00903813" w:rsidRDefault="004040A2" w:rsidP="00673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813">
              <w:rPr>
                <w:rFonts w:ascii="Times New Roman" w:hAnsi="Times New Roman" w:cs="Times New Roman"/>
                <w:color w:val="000000"/>
                <w:sz w:val="20"/>
              </w:rPr>
              <w:t>Dec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903813">
              <w:rPr>
                <w:rFonts w:ascii="Times New Roman" w:hAnsi="Times New Roman" w:cs="Times New Roman"/>
                <w:color w:val="000000"/>
                <w:sz w:val="20"/>
              </w:rPr>
              <w:t xml:space="preserve"> 2019</w:t>
            </w:r>
          </w:p>
          <w:p w14:paraId="239A0A87" w14:textId="77777777" w:rsidR="004040A2" w:rsidRPr="00903813" w:rsidRDefault="004040A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0"/>
              </w:rPr>
            </w:pPr>
          </w:p>
        </w:tc>
        <w:tc>
          <w:tcPr>
            <w:tcW w:w="1047" w:type="dxa"/>
            <w:shd w:val="clear" w:color="auto" w:fill="auto"/>
            <w:noWrap/>
          </w:tcPr>
          <w:p w14:paraId="6792B070" w14:textId="77777777" w:rsidR="004040A2" w:rsidRPr="00903813" w:rsidRDefault="004040A2" w:rsidP="00673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813">
              <w:rPr>
                <w:rFonts w:ascii="Times New Roman" w:hAnsi="Times New Roman" w:cs="Times New Roman"/>
                <w:color w:val="000000"/>
                <w:sz w:val="20"/>
              </w:rPr>
              <w:t>119843</w:t>
            </w:r>
          </w:p>
          <w:p w14:paraId="018798E6" w14:textId="77777777" w:rsidR="004040A2" w:rsidRPr="00903813" w:rsidRDefault="004040A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0"/>
              </w:rPr>
            </w:pPr>
          </w:p>
        </w:tc>
        <w:tc>
          <w:tcPr>
            <w:tcW w:w="1376" w:type="dxa"/>
            <w:shd w:val="clear" w:color="auto" w:fill="auto"/>
            <w:noWrap/>
          </w:tcPr>
          <w:p w14:paraId="4A016BB9" w14:textId="77777777" w:rsidR="004040A2" w:rsidRPr="00903813" w:rsidRDefault="004040A2" w:rsidP="00673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813">
              <w:rPr>
                <w:rFonts w:ascii="Times New Roman" w:hAnsi="Times New Roman" w:cs="Times New Roman"/>
                <w:color w:val="000000"/>
                <w:sz w:val="20"/>
              </w:rPr>
              <w:t>Elsevier</w:t>
            </w:r>
          </w:p>
          <w:p w14:paraId="338E6C94" w14:textId="77777777" w:rsidR="004040A2" w:rsidRPr="00903813" w:rsidRDefault="004040A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0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79E83CEF" w14:textId="77777777" w:rsidR="004040A2" w:rsidRPr="00903813" w:rsidRDefault="004040A2" w:rsidP="0067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03813">
              <w:rPr>
                <w:rFonts w:ascii="Times New Roman" w:hAnsi="Times New Roman" w:cs="Times New Roman"/>
                <w:sz w:val="20"/>
              </w:rPr>
              <w:t>Q1</w:t>
            </w:r>
          </w:p>
          <w:p w14:paraId="5D768E7D" w14:textId="77777777" w:rsidR="004040A2" w:rsidRPr="00903813" w:rsidRDefault="004040A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0"/>
              </w:rPr>
            </w:pPr>
          </w:p>
        </w:tc>
      </w:tr>
    </w:tbl>
    <w:p w14:paraId="4219B6A6" w14:textId="77777777" w:rsidR="00C82B31" w:rsidRDefault="00C82B31"/>
    <w:sectPr w:rsidR="00C82B31" w:rsidSect="00866CE2">
      <w:type w:val="continuous"/>
      <w:pgSz w:w="11920" w:h="16860"/>
      <w:pgMar w:top="840" w:right="1338" w:bottom="278" w:left="133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0A2"/>
    <w:rsid w:val="004040A2"/>
    <w:rsid w:val="00866CE2"/>
    <w:rsid w:val="00C8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7113C"/>
  <w15:chartTrackingRefBased/>
  <w15:docId w15:val="{905FAA10-4B36-4BD8-9618-B25E5046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0A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Ashoka Ashoka</dc:creator>
  <cp:keywords/>
  <dc:description/>
  <cp:lastModifiedBy>Ashoka Ashoka</cp:lastModifiedBy>
  <cp:revision>1</cp:revision>
  <dcterms:created xsi:type="dcterms:W3CDTF">2022-05-18T10:52:00Z</dcterms:created>
  <dcterms:modified xsi:type="dcterms:W3CDTF">2022-05-18T10:52:00Z</dcterms:modified>
</cp:coreProperties>
</file>