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A455F" w14:textId="77777777" w:rsidR="00653D93" w:rsidRPr="006F00E6" w:rsidRDefault="00653D93" w:rsidP="00653D93">
      <w:pPr>
        <w:spacing w:after="0"/>
        <w:rPr>
          <w:rFonts w:ascii="Times New Roman" w:hAnsi="Times New Roman" w:cs="Times New Roman"/>
          <w:b/>
        </w:rPr>
      </w:pPr>
      <w:r>
        <w:rPr>
          <w:rFonts w:ascii="Times New Roman" w:hAnsi="Times New Roman" w:cs="Times New Roman"/>
          <w:b/>
        </w:rPr>
        <w:t>Paper No: PU-SOE-</w:t>
      </w:r>
      <w:r w:rsidRPr="00AF5184">
        <w:rPr>
          <w:rFonts w:ascii="Times New Roman" w:hAnsi="Times New Roman" w:cs="Times New Roman"/>
          <w:b/>
        </w:rPr>
        <w:t>MAT- 11</w:t>
      </w:r>
    </w:p>
    <w:p w14:paraId="6A742819" w14:textId="77777777" w:rsidR="00653D93" w:rsidRPr="001210E2" w:rsidRDefault="00653D93" w:rsidP="00653D93">
      <w:pPr>
        <w:spacing w:after="0" w:line="240" w:lineRule="auto"/>
        <w:rPr>
          <w:rFonts w:ascii="Times New Roman" w:eastAsia="Times New Roman" w:hAnsi="Times New Roman" w:cs="Times New Roman"/>
          <w:b/>
          <w:bCs/>
          <w:sz w:val="2"/>
        </w:rPr>
      </w:pPr>
    </w:p>
    <w:p w14:paraId="05333814" w14:textId="77777777" w:rsidR="00653D93" w:rsidRPr="006F00E6" w:rsidRDefault="00653D93" w:rsidP="00653D93">
      <w:pPr>
        <w:spacing w:after="0" w:line="240" w:lineRule="auto"/>
        <w:jc w:val="both"/>
        <w:rPr>
          <w:rFonts w:ascii="Times New Roman" w:eastAsia="Times New Roman" w:hAnsi="Times New Roman" w:cs="Times New Roman"/>
          <w:b/>
          <w:color w:val="000000"/>
          <w:sz w:val="6"/>
        </w:rPr>
      </w:pPr>
    </w:p>
    <w:p w14:paraId="18FB0772" w14:textId="77777777" w:rsidR="00653D93" w:rsidRPr="00932C1B" w:rsidRDefault="00653D93" w:rsidP="00653D93">
      <w:pPr>
        <w:spacing w:after="0" w:line="240" w:lineRule="auto"/>
        <w:jc w:val="both"/>
        <w:rPr>
          <w:rFonts w:ascii="Times New Roman" w:eastAsia="Times New Roman" w:hAnsi="Times New Roman" w:cs="Times New Roman"/>
          <w:b/>
          <w:color w:val="000000"/>
        </w:rPr>
      </w:pPr>
      <w:r w:rsidRPr="00932C1B">
        <w:rPr>
          <w:rFonts w:ascii="Times New Roman" w:eastAsia="Times New Roman" w:hAnsi="Times New Roman" w:cs="Times New Roman"/>
          <w:b/>
          <w:color w:val="000000"/>
        </w:rPr>
        <w:t>Influence of thin baffle and magnetic field on buoyant convection in a vertical annulus</w:t>
      </w:r>
    </w:p>
    <w:p w14:paraId="71597262" w14:textId="77777777" w:rsidR="00653D93" w:rsidRPr="006F00E6" w:rsidRDefault="00653D93" w:rsidP="00653D93">
      <w:pPr>
        <w:tabs>
          <w:tab w:val="left" w:pos="3510"/>
        </w:tabs>
        <w:spacing w:after="0" w:line="240" w:lineRule="auto"/>
        <w:jc w:val="both"/>
        <w:rPr>
          <w:rFonts w:ascii="Times New Roman" w:eastAsia="Times New Roman" w:hAnsi="Times New Roman" w:cs="Times New Roman"/>
          <w:b/>
          <w:color w:val="000000"/>
          <w:sz w:val="12"/>
        </w:rPr>
      </w:pPr>
    </w:p>
    <w:p w14:paraId="0F860EDE" w14:textId="77777777" w:rsidR="00653D93" w:rsidRPr="00AF5184" w:rsidRDefault="00653D93" w:rsidP="00653D93">
      <w:pPr>
        <w:spacing w:after="0" w:line="240" w:lineRule="auto"/>
        <w:rPr>
          <w:rFonts w:ascii="Times New Roman" w:eastAsia="Times New Roman" w:hAnsi="Times New Roman" w:cs="Times New Roman"/>
          <w:color w:val="000000"/>
          <w:sz w:val="16"/>
          <w:szCs w:val="16"/>
        </w:rPr>
      </w:pPr>
      <w:r w:rsidRPr="00932C1B">
        <w:rPr>
          <w:rFonts w:ascii="Times New Roman" w:eastAsia="Times New Roman" w:hAnsi="Times New Roman" w:cs="Times New Roman"/>
          <w:color w:val="000000"/>
          <w:sz w:val="16"/>
          <w:szCs w:val="16"/>
        </w:rPr>
        <w:t xml:space="preserve">Pushpa B V, </w:t>
      </w:r>
      <w:r w:rsidRPr="00932C1B">
        <w:rPr>
          <w:rFonts w:ascii="Times New Roman" w:eastAsia="Times New Roman" w:hAnsi="Times New Roman" w:cs="Times New Roman"/>
          <w:b/>
          <w:bCs/>
          <w:color w:val="000000"/>
          <w:sz w:val="16"/>
          <w:szCs w:val="16"/>
        </w:rPr>
        <w:t>M. Sankar</w:t>
      </w:r>
      <w:r w:rsidRPr="00932C1B">
        <w:rPr>
          <w:rFonts w:ascii="Times New Roman" w:eastAsia="Times New Roman" w:hAnsi="Times New Roman" w:cs="Times New Roman"/>
          <w:color w:val="000000"/>
          <w:sz w:val="16"/>
          <w:szCs w:val="16"/>
        </w:rPr>
        <w:t xml:space="preserve">, Prasanna B M R, </w:t>
      </w:r>
      <w:proofErr w:type="spellStart"/>
      <w:r w:rsidRPr="00932C1B">
        <w:rPr>
          <w:rFonts w:ascii="Times New Roman" w:eastAsia="Times New Roman" w:hAnsi="Times New Roman" w:cs="Times New Roman"/>
          <w:color w:val="000000"/>
          <w:sz w:val="16"/>
          <w:szCs w:val="16"/>
        </w:rPr>
        <w:t>Zailan</w:t>
      </w:r>
      <w:proofErr w:type="spellEnd"/>
      <w:r w:rsidRPr="00932C1B">
        <w:rPr>
          <w:rFonts w:ascii="Times New Roman" w:eastAsia="Times New Roman" w:hAnsi="Times New Roman" w:cs="Times New Roman"/>
          <w:color w:val="000000"/>
          <w:sz w:val="16"/>
          <w:szCs w:val="16"/>
        </w:rPr>
        <w:t xml:space="preserve"> Siri</w:t>
      </w:r>
    </w:p>
    <w:p w14:paraId="24F51877" w14:textId="77777777" w:rsidR="00653D93" w:rsidRPr="004818F1" w:rsidRDefault="00653D93" w:rsidP="00653D93">
      <w:pPr>
        <w:spacing w:after="0" w:line="240" w:lineRule="auto"/>
        <w:rPr>
          <w:rFonts w:ascii="Times New Roman" w:hAnsi="Times New Roman" w:cs="Times New Roman"/>
          <w:b/>
          <w:sz w:val="16"/>
          <w:szCs w:val="16"/>
        </w:rPr>
      </w:pPr>
      <w:r w:rsidRPr="004818F1">
        <w:rPr>
          <w:rFonts w:ascii="Times New Roman" w:hAnsi="Times New Roman" w:cs="Times New Roman"/>
          <w:sz w:val="16"/>
          <w:szCs w:val="16"/>
        </w:rPr>
        <w:t>Department of Mathematics, School of Engineering, Presidency University, Bangalore-560 064, INDIA</w:t>
      </w:r>
    </w:p>
    <w:p w14:paraId="69B86173" w14:textId="77777777" w:rsidR="00653D93" w:rsidRPr="006F00E6" w:rsidRDefault="00653D93" w:rsidP="00653D93">
      <w:pPr>
        <w:spacing w:after="0" w:line="240" w:lineRule="auto"/>
        <w:rPr>
          <w:rFonts w:ascii="Times New Roman" w:hAnsi="Times New Roman" w:cs="Times New Roman"/>
          <w:b/>
          <w:sz w:val="8"/>
        </w:rPr>
      </w:pPr>
    </w:p>
    <w:p w14:paraId="617F58E9" w14:textId="77777777" w:rsidR="00653D93" w:rsidRPr="002A2612" w:rsidRDefault="00653D93" w:rsidP="00653D93">
      <w:pPr>
        <w:spacing w:after="0" w:line="240" w:lineRule="auto"/>
        <w:jc w:val="center"/>
        <w:rPr>
          <w:rFonts w:ascii="Times New Roman" w:hAnsi="Times New Roman" w:cs="Times New Roman"/>
          <w:b/>
          <w:sz w:val="28"/>
        </w:rPr>
      </w:pPr>
      <w:r w:rsidRPr="006F00E6">
        <w:rPr>
          <w:rFonts w:ascii="Times New Roman" w:hAnsi="Times New Roman" w:cs="Times New Roman"/>
          <w:b/>
        </w:rPr>
        <w:t>Abstract</w:t>
      </w:r>
    </w:p>
    <w:p w14:paraId="6D82BE34" w14:textId="77777777" w:rsidR="00653D93" w:rsidRPr="006F00E6" w:rsidRDefault="00653D93" w:rsidP="00653D93">
      <w:pPr>
        <w:spacing w:after="0" w:line="240" w:lineRule="auto"/>
        <w:jc w:val="center"/>
        <w:rPr>
          <w:rFonts w:ascii="Times New Roman" w:hAnsi="Times New Roman" w:cs="Times New Roman"/>
          <w:b/>
          <w:sz w:val="2"/>
        </w:rPr>
      </w:pPr>
    </w:p>
    <w:p w14:paraId="4BC7CFBE" w14:textId="77777777" w:rsidR="00653D93" w:rsidRPr="002A2612" w:rsidRDefault="00653D93" w:rsidP="00653D93">
      <w:pPr>
        <w:spacing w:after="0" w:line="240" w:lineRule="auto"/>
        <w:jc w:val="center"/>
        <w:rPr>
          <w:rFonts w:ascii="Times New Roman" w:hAnsi="Times New Roman" w:cs="Times New Roman"/>
          <w:b/>
          <w:sz w:val="2"/>
        </w:rPr>
      </w:pPr>
    </w:p>
    <w:p w14:paraId="4B7999CB" w14:textId="77777777" w:rsidR="00653D93" w:rsidRPr="00AF5184" w:rsidRDefault="00653D93" w:rsidP="00653D93">
      <w:pPr>
        <w:spacing w:after="0" w:line="240" w:lineRule="auto"/>
        <w:jc w:val="both"/>
        <w:rPr>
          <w:rFonts w:ascii="Times New Roman" w:hAnsi="Times New Roman" w:cs="Times New Roman"/>
        </w:rPr>
      </w:pPr>
      <w:r w:rsidRPr="00AF5184">
        <w:rPr>
          <w:rFonts w:ascii="Times New Roman" w:hAnsi="Times New Roman" w:cs="Times New Roman"/>
        </w:rPr>
        <w:t>This paper numerically investigates buoyancy-driven convection in an annular cavity having differently heated cylindrical side walls and a thin baffle attached to the inner cylinder. The annular enclosure is packed with electrically conducting low Prandtl number fluid (</w:t>
      </w:r>
      <w:proofErr w:type="spellStart"/>
      <w:r w:rsidRPr="00AF5184">
        <w:rPr>
          <w:rFonts w:ascii="Times New Roman" w:hAnsi="Times New Roman" w:cs="Times New Roman"/>
        </w:rPr>
        <w:t>Pr</w:t>
      </w:r>
      <w:proofErr w:type="spellEnd"/>
      <w:r w:rsidRPr="00AF5184">
        <w:rPr>
          <w:rFonts w:ascii="Times New Roman" w:hAnsi="Times New Roman" w:cs="Times New Roman"/>
        </w:rPr>
        <w:t> = 0.054). Along the radial or axial direction, a magnetic field of uniform intensity is applied. The finite difference method consisting of ADI and SLOR techniques is employed to solve the model equations governing the physical processes. The simulation results are presented through streamlines, isotherms, local, and average Nusselt numbers to illustrate the effects of various parameters. The simulation results explain that the Hartmann number and baffle length restrained the heat transfer rate, while the Rayleigh number and baffle location enhance the rate of heat transfer.</w:t>
      </w:r>
    </w:p>
    <w:p w14:paraId="130DDE8F" w14:textId="77777777" w:rsidR="00653D93" w:rsidRPr="00AF5184" w:rsidRDefault="00653D93" w:rsidP="00653D93">
      <w:pPr>
        <w:spacing w:after="0" w:line="240" w:lineRule="auto"/>
        <w:jc w:val="both"/>
        <w:rPr>
          <w:rFonts w:ascii="Times New Roman" w:hAnsi="Times New Roman" w:cs="Times New Roman"/>
          <w:b/>
          <w:sz w:val="16"/>
        </w:rPr>
      </w:pPr>
    </w:p>
    <w:p w14:paraId="161FD750" w14:textId="77777777" w:rsidR="00653D93" w:rsidRPr="006F00E6" w:rsidRDefault="00653D93" w:rsidP="00653D93">
      <w:pPr>
        <w:spacing w:after="0" w:line="240" w:lineRule="auto"/>
        <w:jc w:val="both"/>
        <w:rPr>
          <w:rFonts w:ascii="Times New Roman" w:hAnsi="Times New Roman" w:cs="Times New Roman"/>
          <w:b/>
        </w:rPr>
      </w:pPr>
      <w:r>
        <w:rPr>
          <w:rFonts w:ascii="Times New Roman" w:hAnsi="Times New Roman" w:cs="Times New Roman"/>
          <w:b/>
        </w:rPr>
        <w:t>Keywords:</w:t>
      </w:r>
    </w:p>
    <w:p w14:paraId="5E93D6DA" w14:textId="77777777" w:rsidR="00653D93" w:rsidRPr="00AF5184" w:rsidRDefault="00653D93" w:rsidP="00653D93">
      <w:pPr>
        <w:spacing w:after="0" w:line="240" w:lineRule="auto"/>
        <w:rPr>
          <w:rFonts w:ascii="Times New Roman" w:hAnsi="Times New Roman" w:cs="Times New Roman"/>
        </w:rPr>
      </w:pPr>
      <w:r w:rsidRPr="00AF5184">
        <w:rPr>
          <w:rFonts w:ascii="Times New Roman" w:hAnsi="Times New Roman" w:cs="Times New Roman"/>
        </w:rPr>
        <w:t>Magnetic field Annulus Baffle Finite difference method </w:t>
      </w:r>
    </w:p>
    <w:p w14:paraId="68A64B46" w14:textId="77777777" w:rsidR="00653D93" w:rsidRPr="00582C44" w:rsidRDefault="00653D93" w:rsidP="00653D93">
      <w:pPr>
        <w:spacing w:after="0" w:line="240" w:lineRule="auto"/>
        <w:rPr>
          <w:rFonts w:ascii="Times New Roman" w:hAnsi="Times New Roman" w:cs="Times New Roman"/>
          <w:b/>
        </w:rPr>
      </w:pPr>
      <w:r>
        <w:rPr>
          <w:rFonts w:ascii="Times New Roman" w:hAnsi="Times New Roman" w:cs="Times New Roman"/>
          <w:b/>
        </w:rPr>
        <w:t>Publication Details:</w:t>
      </w:r>
    </w:p>
    <w:p w14:paraId="4EA2B3B7" w14:textId="77777777" w:rsidR="00653D93" w:rsidRPr="002A2612" w:rsidRDefault="00653D93" w:rsidP="00653D93">
      <w:pPr>
        <w:spacing w:after="0" w:line="240" w:lineRule="auto"/>
        <w:rPr>
          <w:rFonts w:ascii="Times New Roman" w:hAnsi="Times New Roman" w:cs="Times New Roman"/>
          <w:b/>
          <w:sz w:val="18"/>
          <w:vertAlign w:val="superscript"/>
        </w:rPr>
      </w:pPr>
    </w:p>
    <w:tbl>
      <w:tblPr>
        <w:tblW w:w="9450" w:type="dxa"/>
        <w:tblLayout w:type="fixed"/>
        <w:tblLook w:val="04A0" w:firstRow="1" w:lastRow="0" w:firstColumn="1" w:lastColumn="0" w:noHBand="0" w:noVBand="1"/>
      </w:tblPr>
      <w:tblGrid>
        <w:gridCol w:w="2610"/>
        <w:gridCol w:w="900"/>
        <w:gridCol w:w="1717"/>
        <w:gridCol w:w="1047"/>
        <w:gridCol w:w="1286"/>
        <w:gridCol w:w="1890"/>
      </w:tblGrid>
      <w:tr w:rsidR="00653D93" w:rsidRPr="001B4505" w14:paraId="643642D8" w14:textId="77777777" w:rsidTr="00673108">
        <w:trPr>
          <w:trHeight w:val="378"/>
        </w:trPr>
        <w:tc>
          <w:tcPr>
            <w:tcW w:w="2610" w:type="dxa"/>
            <w:noWrap/>
            <w:hideMark/>
          </w:tcPr>
          <w:p w14:paraId="52D553EA" w14:textId="77777777" w:rsidR="00653D93" w:rsidRPr="00582C44" w:rsidRDefault="00653D93" w:rsidP="00673108">
            <w:pPr>
              <w:spacing w:after="0" w:line="240" w:lineRule="auto"/>
              <w:jc w:val="center"/>
              <w:rPr>
                <w:rFonts w:ascii="Times New Roman" w:eastAsia="Times New Roman" w:hAnsi="Times New Roman" w:cs="Times New Roman"/>
                <w:b/>
                <w:bCs/>
                <w:sz w:val="20"/>
              </w:rPr>
            </w:pPr>
            <w:r w:rsidRPr="00582C44">
              <w:rPr>
                <w:rFonts w:ascii="Times New Roman" w:eastAsia="Times New Roman" w:hAnsi="Times New Roman" w:cs="Times New Roman"/>
                <w:b/>
                <w:bCs/>
                <w:sz w:val="20"/>
              </w:rPr>
              <w:t>Journal Name</w:t>
            </w:r>
          </w:p>
        </w:tc>
        <w:tc>
          <w:tcPr>
            <w:tcW w:w="900" w:type="dxa"/>
            <w:noWrap/>
            <w:hideMark/>
          </w:tcPr>
          <w:p w14:paraId="5D010914" w14:textId="77777777" w:rsidR="00653D93" w:rsidRPr="00582C44" w:rsidRDefault="00653D93" w:rsidP="00673108">
            <w:pPr>
              <w:spacing w:after="0" w:line="240" w:lineRule="auto"/>
              <w:jc w:val="center"/>
              <w:rPr>
                <w:rFonts w:ascii="Times New Roman" w:eastAsia="Times New Roman" w:hAnsi="Times New Roman" w:cs="Times New Roman"/>
                <w:b/>
                <w:bCs/>
                <w:sz w:val="20"/>
              </w:rPr>
            </w:pPr>
            <w:r w:rsidRPr="00582C44">
              <w:rPr>
                <w:rFonts w:ascii="Times New Roman" w:eastAsia="Times New Roman" w:hAnsi="Times New Roman" w:cs="Times New Roman"/>
                <w:b/>
                <w:bCs/>
                <w:sz w:val="20"/>
              </w:rPr>
              <w:t>Vol.</w:t>
            </w:r>
          </w:p>
        </w:tc>
        <w:tc>
          <w:tcPr>
            <w:tcW w:w="1717" w:type="dxa"/>
            <w:hideMark/>
          </w:tcPr>
          <w:p w14:paraId="0BC632A3" w14:textId="77777777" w:rsidR="00653D93" w:rsidRPr="00582C44" w:rsidRDefault="00653D93" w:rsidP="00673108">
            <w:pPr>
              <w:spacing w:after="0" w:line="240" w:lineRule="auto"/>
              <w:jc w:val="center"/>
              <w:rPr>
                <w:rFonts w:ascii="Times New Roman" w:eastAsia="Times New Roman" w:hAnsi="Times New Roman" w:cs="Times New Roman"/>
                <w:b/>
                <w:bCs/>
                <w:sz w:val="20"/>
              </w:rPr>
            </w:pPr>
            <w:r w:rsidRPr="00582C44">
              <w:rPr>
                <w:rFonts w:ascii="Times New Roman" w:eastAsia="Times New Roman" w:hAnsi="Times New Roman" w:cs="Times New Roman"/>
                <w:b/>
                <w:bCs/>
                <w:sz w:val="20"/>
              </w:rPr>
              <w:t xml:space="preserve">Month </w:t>
            </w:r>
            <w:proofErr w:type="gramStart"/>
            <w:r w:rsidRPr="00582C44">
              <w:rPr>
                <w:rFonts w:ascii="Times New Roman" w:eastAsia="Times New Roman" w:hAnsi="Times New Roman" w:cs="Times New Roman"/>
                <w:b/>
                <w:bCs/>
                <w:sz w:val="20"/>
              </w:rPr>
              <w:t>&amp;  Year</w:t>
            </w:r>
            <w:proofErr w:type="gramEnd"/>
            <w:r w:rsidRPr="00582C44">
              <w:rPr>
                <w:rFonts w:ascii="Times New Roman" w:eastAsia="Times New Roman" w:hAnsi="Times New Roman" w:cs="Times New Roman"/>
                <w:b/>
                <w:bCs/>
                <w:sz w:val="20"/>
              </w:rPr>
              <w:t xml:space="preserve"> </w:t>
            </w:r>
          </w:p>
        </w:tc>
        <w:tc>
          <w:tcPr>
            <w:tcW w:w="1047" w:type="dxa"/>
            <w:noWrap/>
            <w:hideMark/>
          </w:tcPr>
          <w:p w14:paraId="4D91600B" w14:textId="77777777" w:rsidR="00653D93" w:rsidRPr="00582C44" w:rsidRDefault="00653D93" w:rsidP="00673108">
            <w:pPr>
              <w:spacing w:after="0" w:line="240" w:lineRule="auto"/>
              <w:jc w:val="center"/>
              <w:rPr>
                <w:rFonts w:ascii="Times New Roman" w:eastAsia="Times New Roman" w:hAnsi="Times New Roman" w:cs="Times New Roman"/>
                <w:b/>
                <w:bCs/>
                <w:sz w:val="20"/>
              </w:rPr>
            </w:pPr>
            <w:r w:rsidRPr="00582C44">
              <w:rPr>
                <w:rFonts w:ascii="Times New Roman" w:eastAsia="Times New Roman" w:hAnsi="Times New Roman" w:cs="Times New Roman"/>
                <w:b/>
                <w:bCs/>
                <w:sz w:val="20"/>
              </w:rPr>
              <w:t>Page No.</w:t>
            </w:r>
          </w:p>
        </w:tc>
        <w:tc>
          <w:tcPr>
            <w:tcW w:w="1286" w:type="dxa"/>
            <w:noWrap/>
            <w:hideMark/>
          </w:tcPr>
          <w:p w14:paraId="5D1E751D" w14:textId="77777777" w:rsidR="00653D93" w:rsidRPr="00582C44" w:rsidRDefault="00653D93" w:rsidP="00673108">
            <w:pPr>
              <w:spacing w:after="0" w:line="240" w:lineRule="auto"/>
              <w:jc w:val="center"/>
              <w:rPr>
                <w:rFonts w:ascii="Times New Roman" w:eastAsia="Times New Roman" w:hAnsi="Times New Roman" w:cs="Times New Roman"/>
                <w:b/>
                <w:bCs/>
                <w:sz w:val="20"/>
              </w:rPr>
            </w:pPr>
            <w:r w:rsidRPr="00582C44">
              <w:rPr>
                <w:rFonts w:ascii="Times New Roman" w:eastAsia="Times New Roman" w:hAnsi="Times New Roman" w:cs="Times New Roman"/>
                <w:b/>
                <w:bCs/>
                <w:sz w:val="20"/>
              </w:rPr>
              <w:t>Publisher</w:t>
            </w:r>
          </w:p>
        </w:tc>
        <w:tc>
          <w:tcPr>
            <w:tcW w:w="1890" w:type="dxa"/>
            <w:noWrap/>
            <w:hideMark/>
          </w:tcPr>
          <w:p w14:paraId="747FC1AF" w14:textId="77777777" w:rsidR="00653D93" w:rsidRPr="00582C44" w:rsidRDefault="00653D93" w:rsidP="00673108">
            <w:pPr>
              <w:spacing w:after="0" w:line="240" w:lineRule="auto"/>
              <w:jc w:val="center"/>
              <w:rPr>
                <w:rFonts w:ascii="Times New Roman" w:eastAsia="Times New Roman" w:hAnsi="Times New Roman" w:cs="Times New Roman"/>
                <w:b/>
                <w:bCs/>
                <w:sz w:val="20"/>
              </w:rPr>
            </w:pPr>
            <w:proofErr w:type="spellStart"/>
            <w:r w:rsidRPr="00582C44">
              <w:rPr>
                <w:rFonts w:ascii="Times New Roman" w:eastAsia="Times New Roman" w:hAnsi="Times New Roman" w:cs="Times New Roman"/>
                <w:b/>
                <w:bCs/>
                <w:sz w:val="20"/>
              </w:rPr>
              <w:t>Scimago</w:t>
            </w:r>
            <w:proofErr w:type="spellEnd"/>
            <w:r w:rsidRPr="00582C44">
              <w:rPr>
                <w:rFonts w:ascii="Times New Roman" w:eastAsia="Times New Roman" w:hAnsi="Times New Roman" w:cs="Times New Roman"/>
                <w:b/>
                <w:bCs/>
                <w:sz w:val="20"/>
              </w:rPr>
              <w:t xml:space="preserve"> Ranking</w:t>
            </w:r>
          </w:p>
        </w:tc>
      </w:tr>
      <w:tr w:rsidR="00653D93" w:rsidRPr="001B4505" w14:paraId="54F44B2E" w14:textId="77777777" w:rsidTr="00673108">
        <w:trPr>
          <w:trHeight w:val="333"/>
        </w:trPr>
        <w:tc>
          <w:tcPr>
            <w:tcW w:w="2610" w:type="dxa"/>
            <w:noWrap/>
            <w:hideMark/>
          </w:tcPr>
          <w:p w14:paraId="10AF4472" w14:textId="77777777" w:rsidR="00653D93" w:rsidRPr="00AF5184" w:rsidRDefault="00653D93" w:rsidP="00673108">
            <w:pPr>
              <w:jc w:val="center"/>
              <w:rPr>
                <w:rFonts w:ascii="Times New Roman" w:hAnsi="Times New Roman" w:cs="Times New Roman"/>
                <w:sz w:val="20"/>
                <w:szCs w:val="20"/>
              </w:rPr>
            </w:pPr>
            <w:r w:rsidRPr="00AF5184">
              <w:rPr>
                <w:rFonts w:ascii="Times New Roman" w:hAnsi="Times New Roman" w:cs="Times New Roman"/>
                <w:sz w:val="20"/>
                <w:szCs w:val="20"/>
              </w:rPr>
              <w:t>Advances in Fluid Dynamics</w:t>
            </w:r>
          </w:p>
          <w:p w14:paraId="2EE17313" w14:textId="77777777" w:rsidR="00653D93" w:rsidRPr="00AF5184" w:rsidRDefault="00653D93" w:rsidP="00673108">
            <w:pPr>
              <w:jc w:val="center"/>
              <w:rPr>
                <w:rFonts w:ascii="Times New Roman" w:eastAsia="Times New Roman" w:hAnsi="Times New Roman" w:cs="Times New Roman"/>
                <w:bCs/>
                <w:sz w:val="20"/>
                <w:szCs w:val="20"/>
              </w:rPr>
            </w:pPr>
          </w:p>
        </w:tc>
        <w:tc>
          <w:tcPr>
            <w:tcW w:w="900" w:type="dxa"/>
            <w:noWrap/>
          </w:tcPr>
          <w:p w14:paraId="1A087972" w14:textId="77777777" w:rsidR="00653D93" w:rsidRPr="00AF5184" w:rsidRDefault="00653D93" w:rsidP="00673108">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NA</w:t>
            </w:r>
          </w:p>
        </w:tc>
        <w:tc>
          <w:tcPr>
            <w:tcW w:w="1717" w:type="dxa"/>
          </w:tcPr>
          <w:p w14:paraId="5227C036" w14:textId="77777777" w:rsidR="00653D93" w:rsidRPr="00AF5184" w:rsidRDefault="00653D93" w:rsidP="00673108">
            <w:pPr>
              <w:spacing w:after="0" w:line="240" w:lineRule="auto"/>
              <w:jc w:val="center"/>
              <w:rPr>
                <w:rFonts w:ascii="Times New Roman" w:eastAsia="Times New Roman" w:hAnsi="Times New Roman" w:cs="Times New Roman"/>
                <w:bCs/>
                <w:sz w:val="20"/>
                <w:szCs w:val="20"/>
              </w:rPr>
            </w:pPr>
            <w:r w:rsidRPr="00AF5184">
              <w:rPr>
                <w:rFonts w:ascii="Times New Roman" w:eastAsia="Times New Roman" w:hAnsi="Times New Roman" w:cs="Times New Roman"/>
                <w:bCs/>
                <w:sz w:val="20"/>
                <w:szCs w:val="20"/>
              </w:rPr>
              <w:t xml:space="preserve">July, 2020 </w:t>
            </w:r>
          </w:p>
        </w:tc>
        <w:tc>
          <w:tcPr>
            <w:tcW w:w="1047" w:type="dxa"/>
            <w:noWrap/>
          </w:tcPr>
          <w:p w14:paraId="5A05C17D" w14:textId="77777777" w:rsidR="00653D93" w:rsidRPr="00AF5184" w:rsidRDefault="00653D93" w:rsidP="00673108">
            <w:pPr>
              <w:spacing w:after="0" w:line="240" w:lineRule="auto"/>
              <w:jc w:val="center"/>
              <w:rPr>
                <w:rFonts w:ascii="Times New Roman" w:eastAsia="Times New Roman" w:hAnsi="Times New Roman" w:cs="Times New Roman"/>
                <w:bCs/>
                <w:sz w:val="20"/>
                <w:szCs w:val="20"/>
              </w:rPr>
            </w:pPr>
            <w:r w:rsidRPr="00AF5184">
              <w:rPr>
                <w:rFonts w:ascii="Times New Roman" w:eastAsia="Times New Roman" w:hAnsi="Times New Roman" w:cs="Times New Roman"/>
                <w:bCs/>
                <w:sz w:val="20"/>
                <w:szCs w:val="20"/>
              </w:rPr>
              <w:t>105-119</w:t>
            </w:r>
          </w:p>
        </w:tc>
        <w:tc>
          <w:tcPr>
            <w:tcW w:w="1286" w:type="dxa"/>
            <w:noWrap/>
          </w:tcPr>
          <w:p w14:paraId="29DCCB80" w14:textId="77777777" w:rsidR="00653D93" w:rsidRPr="00AF5184" w:rsidRDefault="00653D93" w:rsidP="00673108">
            <w:pPr>
              <w:jc w:val="center"/>
              <w:rPr>
                <w:rFonts w:ascii="Times New Roman" w:hAnsi="Times New Roman" w:cs="Times New Roman"/>
                <w:sz w:val="20"/>
                <w:szCs w:val="20"/>
              </w:rPr>
            </w:pPr>
            <w:r w:rsidRPr="00AF5184">
              <w:rPr>
                <w:rFonts w:ascii="Times New Roman" w:hAnsi="Times New Roman" w:cs="Times New Roman"/>
                <w:sz w:val="20"/>
                <w:szCs w:val="20"/>
              </w:rPr>
              <w:t>Springer</w:t>
            </w:r>
          </w:p>
          <w:p w14:paraId="1677C758" w14:textId="77777777" w:rsidR="00653D93" w:rsidRPr="00AF5184" w:rsidRDefault="00653D93" w:rsidP="00673108">
            <w:pPr>
              <w:spacing w:after="0" w:line="240" w:lineRule="auto"/>
              <w:jc w:val="center"/>
              <w:rPr>
                <w:rFonts w:ascii="Times New Roman" w:eastAsia="Times New Roman" w:hAnsi="Times New Roman" w:cs="Times New Roman"/>
                <w:bCs/>
                <w:sz w:val="20"/>
                <w:szCs w:val="20"/>
              </w:rPr>
            </w:pPr>
          </w:p>
        </w:tc>
        <w:tc>
          <w:tcPr>
            <w:tcW w:w="1890" w:type="dxa"/>
            <w:noWrap/>
          </w:tcPr>
          <w:p w14:paraId="0C272648" w14:textId="77777777" w:rsidR="00653D93" w:rsidRPr="00AF5184" w:rsidRDefault="00653D93" w:rsidP="00673108">
            <w:pPr>
              <w:spacing w:after="0" w:line="240" w:lineRule="auto"/>
              <w:jc w:val="center"/>
              <w:rPr>
                <w:rFonts w:ascii="Times New Roman" w:eastAsia="Times New Roman" w:hAnsi="Times New Roman" w:cs="Times New Roman"/>
                <w:bCs/>
                <w:sz w:val="20"/>
                <w:szCs w:val="20"/>
              </w:rPr>
            </w:pPr>
            <w:r w:rsidRPr="00AF5184">
              <w:rPr>
                <w:rFonts w:ascii="Times New Roman" w:hAnsi="Times New Roman" w:cs="Times New Roman"/>
                <w:sz w:val="20"/>
                <w:szCs w:val="20"/>
              </w:rPr>
              <w:t>Q3</w:t>
            </w:r>
          </w:p>
        </w:tc>
      </w:tr>
    </w:tbl>
    <w:p w14:paraId="66D987F4"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53D93"/>
    <w:rsid w:val="00653D93"/>
    <w:rsid w:val="00866CE2"/>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C7D03"/>
  <w15:chartTrackingRefBased/>
  <w15:docId w15:val="{228C1B73-FC11-4E1B-903F-381162F1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D9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2022-05-18T10:59:00Z</dcterms:created>
  <dcterms:modified xsi:type="dcterms:W3CDTF">2022-05-18T10:59:00Z</dcterms:modified>
</cp:coreProperties>
</file>