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8FC2" w14:textId="77777777" w:rsidR="004D656D" w:rsidRPr="004277F3" w:rsidRDefault="004D656D" w:rsidP="004D656D">
      <w:pPr>
        <w:spacing w:after="0"/>
        <w:rPr>
          <w:rFonts w:ascii="Times New Roman" w:hAnsi="Times New Roman" w:cs="Times New Roman"/>
          <w:b/>
        </w:rPr>
      </w:pPr>
      <w:r w:rsidRPr="00F810ED">
        <w:rPr>
          <w:rFonts w:ascii="Times New Roman" w:hAnsi="Times New Roman" w:cs="Times New Roman"/>
          <w:b/>
        </w:rPr>
        <w:t>Paper No: PU-SOE-MAT- 05</w:t>
      </w:r>
    </w:p>
    <w:p w14:paraId="253BD235" w14:textId="77777777" w:rsidR="004D656D" w:rsidRPr="001210E2" w:rsidRDefault="004D656D" w:rsidP="004D6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02FBEEBC" w14:textId="77777777" w:rsidR="004D656D" w:rsidRPr="004277F3" w:rsidRDefault="004D656D" w:rsidP="004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16024D9C" w14:textId="77777777" w:rsidR="004D656D" w:rsidRPr="004277F3" w:rsidRDefault="004D656D" w:rsidP="004D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277F3">
        <w:rPr>
          <w:rFonts w:ascii="Times New Roman" w:eastAsia="Times New Roman" w:hAnsi="Times New Roman" w:cs="Times New Roman"/>
          <w:b/>
          <w:color w:val="000000"/>
        </w:rPr>
        <w:t>Approximate Con</w:t>
      </w:r>
      <w:r>
        <w:rPr>
          <w:rFonts w:ascii="Times New Roman" w:eastAsia="Times New Roman" w:hAnsi="Times New Roman" w:cs="Times New Roman"/>
          <w:b/>
          <w:color w:val="000000"/>
        </w:rPr>
        <w:t>trollability o</w:t>
      </w:r>
      <w:r w:rsidRPr="004277F3">
        <w:rPr>
          <w:rFonts w:ascii="Times New Roman" w:eastAsia="Times New Roman" w:hAnsi="Times New Roman" w:cs="Times New Roman"/>
          <w:b/>
          <w:color w:val="000000"/>
        </w:rPr>
        <w:t xml:space="preserve">f </w:t>
      </w:r>
      <w:proofErr w:type="spellStart"/>
      <w:r w:rsidRPr="004277F3">
        <w:rPr>
          <w:rFonts w:ascii="Times New Roman" w:eastAsia="Times New Roman" w:hAnsi="Times New Roman" w:cs="Times New Roman"/>
          <w:b/>
          <w:color w:val="000000"/>
        </w:rPr>
        <w:t>Hilfer</w:t>
      </w:r>
      <w:proofErr w:type="spellEnd"/>
      <w:r w:rsidRPr="004277F3">
        <w:rPr>
          <w:rFonts w:ascii="Times New Roman" w:eastAsia="Times New Roman" w:hAnsi="Times New Roman" w:cs="Times New Roman"/>
          <w:b/>
          <w:color w:val="000000"/>
        </w:rPr>
        <w:t xml:space="preserve"> Fractional </w:t>
      </w:r>
      <w:proofErr w:type="spellStart"/>
      <w:r w:rsidRPr="004277F3">
        <w:rPr>
          <w:rFonts w:ascii="Times New Roman" w:eastAsia="Times New Roman" w:hAnsi="Times New Roman" w:cs="Times New Roman"/>
          <w:b/>
          <w:color w:val="000000"/>
        </w:rPr>
        <w:t>Sobolev</w:t>
      </w:r>
      <w:proofErr w:type="spellEnd"/>
      <w:r w:rsidRPr="004277F3">
        <w:rPr>
          <w:rFonts w:ascii="Times New Roman" w:eastAsia="Times New Roman" w:hAnsi="Times New Roman" w:cs="Times New Roman"/>
          <w:b/>
          <w:color w:val="000000"/>
        </w:rPr>
        <w:t xml:space="preserve"> Type </w:t>
      </w:r>
      <w:r>
        <w:rPr>
          <w:rFonts w:ascii="Times New Roman" w:eastAsia="Times New Roman" w:hAnsi="Times New Roman" w:cs="Times New Roman"/>
          <w:b/>
          <w:color w:val="000000"/>
        </w:rPr>
        <w:t>Integrodifferential Inclusions w</w:t>
      </w:r>
      <w:r w:rsidRPr="004277F3">
        <w:rPr>
          <w:rFonts w:ascii="Times New Roman" w:eastAsia="Times New Roman" w:hAnsi="Times New Roman" w:cs="Times New Roman"/>
          <w:b/>
          <w:color w:val="000000"/>
        </w:rPr>
        <w:t>ith Nonlocal Conditions</w:t>
      </w:r>
    </w:p>
    <w:p w14:paraId="71680CB3" w14:textId="77777777" w:rsidR="004D656D" w:rsidRPr="004277F3" w:rsidRDefault="004D656D" w:rsidP="004D656D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3FBC1441" w14:textId="77777777" w:rsidR="004D656D" w:rsidRPr="004277F3" w:rsidRDefault="004D656D" w:rsidP="004D6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  <w:r w:rsidRPr="004277F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Saranya </w:t>
      </w:r>
      <w:proofErr w:type="spellStart"/>
      <w:r w:rsidRPr="004277F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Subbaiyan</w:t>
      </w:r>
      <w:r w:rsidRPr="004277F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>a</w:t>
      </w:r>
      <w:proofErr w:type="spellEnd"/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Amar </w:t>
      </w:r>
      <w:proofErr w:type="spellStart"/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</w:rPr>
        <w:t>Debbouche</w:t>
      </w:r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b</w:t>
      </w:r>
      <w:proofErr w:type="spellEnd"/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</w:rPr>
        <w:t>Jin</w:t>
      </w:r>
      <w:proofErr w:type="spellEnd"/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Rong </w:t>
      </w:r>
      <w:proofErr w:type="spellStart"/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</w:rPr>
        <w:t>Wang</w:t>
      </w:r>
      <w:r w:rsidRPr="004277F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c</w:t>
      </w:r>
      <w:proofErr w:type="spellEnd"/>
    </w:p>
    <w:p w14:paraId="2D61EABD" w14:textId="77777777" w:rsidR="004D656D" w:rsidRPr="005F16BC" w:rsidRDefault="004D656D" w:rsidP="004D65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proofErr w:type="spellStart"/>
      <w:proofErr w:type="gramStart"/>
      <w:r w:rsidRPr="004277F3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  <w:vertAlign w:val="superscript"/>
        </w:rPr>
        <w:t>a.</w:t>
      </w:r>
      <w:r w:rsidRPr="005F16BC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Department</w:t>
      </w:r>
      <w:proofErr w:type="spellEnd"/>
      <w:proofErr w:type="gramEnd"/>
      <w:r w:rsidRPr="005F16BC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of Mathematics, Presidency University, Bangalore-560064, India</w:t>
      </w:r>
    </w:p>
    <w:p w14:paraId="2077286F" w14:textId="77777777" w:rsidR="004D656D" w:rsidRPr="004277F3" w:rsidRDefault="004D656D" w:rsidP="004D65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proofErr w:type="spellStart"/>
      <w:proofErr w:type="gramStart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  <w:vertAlign w:val="superscript"/>
        </w:rPr>
        <w:t>b.</w:t>
      </w:r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Department</w:t>
      </w:r>
      <w:proofErr w:type="spellEnd"/>
      <w:proofErr w:type="gramEnd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of Mathematics, </w:t>
      </w:r>
      <w:proofErr w:type="spellStart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Guelma</w:t>
      </w:r>
      <w:proofErr w:type="spellEnd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University, 24000 </w:t>
      </w:r>
      <w:proofErr w:type="spellStart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Guelma</w:t>
      </w:r>
      <w:proofErr w:type="spellEnd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, Algeria</w:t>
      </w:r>
    </w:p>
    <w:p w14:paraId="1656E0A6" w14:textId="77777777" w:rsidR="004D656D" w:rsidRPr="004277F3" w:rsidRDefault="004D656D" w:rsidP="004D65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proofErr w:type="spellStart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  <w:vertAlign w:val="superscript"/>
        </w:rPr>
        <w:t>c.</w:t>
      </w:r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Department</w:t>
      </w:r>
      <w:proofErr w:type="spellEnd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of Mathematics, Guizhou </w:t>
      </w:r>
      <w:proofErr w:type="spellStart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Univeristy</w:t>
      </w:r>
      <w:proofErr w:type="spellEnd"/>
      <w:r w:rsidRPr="004277F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, Guiyang, Guizhou 550 025, China</w:t>
      </w:r>
    </w:p>
    <w:p w14:paraId="1DF50E3C" w14:textId="77777777" w:rsidR="004D656D" w:rsidRPr="004277F3" w:rsidRDefault="004D656D" w:rsidP="004D656D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14:paraId="5D2FC3AD" w14:textId="77777777" w:rsidR="004D656D" w:rsidRPr="004277F3" w:rsidRDefault="004D656D" w:rsidP="004D6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7F3">
        <w:rPr>
          <w:rFonts w:ascii="Times New Roman" w:hAnsi="Times New Roman" w:cs="Times New Roman"/>
          <w:b/>
        </w:rPr>
        <w:t>Abstract</w:t>
      </w:r>
    </w:p>
    <w:p w14:paraId="0C72A050" w14:textId="77777777" w:rsidR="004D656D" w:rsidRPr="004277F3" w:rsidRDefault="004D656D" w:rsidP="004D656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247CD616" w14:textId="77777777" w:rsidR="004D656D" w:rsidRPr="004B48DA" w:rsidRDefault="004D656D" w:rsidP="004D656D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642DC63C" w14:textId="77777777" w:rsidR="004D656D" w:rsidRPr="004277F3" w:rsidRDefault="004D656D" w:rsidP="004D6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this paper, we investigate approximate controllability of </w:t>
      </w:r>
      <w:proofErr w:type="spellStart"/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>Hilfer</w:t>
      </w:r>
      <w:proofErr w:type="spellEnd"/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fractional </w:t>
      </w:r>
      <w:proofErr w:type="spellStart"/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>Sobolev</w:t>
      </w:r>
      <w:proofErr w:type="spellEnd"/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type differential inclusions with nonlocal conditions. The main techniques rely on the </w:t>
      </w:r>
      <w:proofErr w:type="gramStart"/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>fixed point</w:t>
      </w:r>
      <w:proofErr w:type="gramEnd"/>
      <w:r w:rsidRPr="00427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theorem combined with the semigroup theory, fractional calculus and multivalued analysis. An example is provided to illustrate the obtained results.</w:t>
      </w:r>
    </w:p>
    <w:p w14:paraId="4B1AC722" w14:textId="77777777" w:rsidR="004D656D" w:rsidRPr="004277F3" w:rsidRDefault="004D656D" w:rsidP="004D656D">
      <w:pPr>
        <w:spacing w:line="240" w:lineRule="auto"/>
        <w:jc w:val="both"/>
        <w:rPr>
          <w:rFonts w:ascii="Times New Roman" w:hAnsi="Times New Roman" w:cs="Times New Roman"/>
          <w:b/>
          <w:sz w:val="2"/>
        </w:rPr>
      </w:pPr>
    </w:p>
    <w:p w14:paraId="5D564D4C" w14:textId="77777777" w:rsidR="004D656D" w:rsidRPr="004277F3" w:rsidRDefault="004D656D" w:rsidP="004D65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52E056AB" w14:textId="77777777" w:rsidR="004D656D" w:rsidRPr="004277F3" w:rsidRDefault="004D656D" w:rsidP="004D656D">
      <w:pPr>
        <w:spacing w:after="0"/>
        <w:rPr>
          <w:rFonts w:ascii="Times New Roman" w:hAnsi="Times New Roman" w:cs="Times New Roman"/>
          <w:sz w:val="20"/>
        </w:rPr>
      </w:pPr>
      <w:r w:rsidRPr="004277F3">
        <w:rPr>
          <w:rFonts w:ascii="Times New Roman" w:hAnsi="Times New Roman" w:cs="Times New Roman"/>
          <w:sz w:val="20"/>
        </w:rPr>
        <w:t>A</w:t>
      </w:r>
      <w:hyperlink r:id="rId4" w:history="1">
        <w:r w:rsidRPr="004277F3">
          <w:rPr>
            <w:rStyle w:val="Hyperlink"/>
            <w:rFonts w:ascii="Times New Roman" w:hAnsi="Times New Roman" w:cs="Times New Roman"/>
            <w:sz w:val="20"/>
          </w:rPr>
          <w:t>pproximate controllability</w:t>
        </w:r>
      </w:hyperlink>
      <w:r w:rsidRPr="004277F3">
        <w:rPr>
          <w:rFonts w:ascii="Times New Roman" w:hAnsi="Times New Roman" w:cs="Times New Roman"/>
          <w:sz w:val="20"/>
        </w:rPr>
        <w:t>, </w:t>
      </w:r>
      <w:proofErr w:type="spellStart"/>
      <w:r>
        <w:fldChar w:fldCharType="begin"/>
      </w:r>
      <w:r>
        <w:instrText xml:space="preserve"> HYPERLINK "https://www.inderscienceonline.com/keyword/Hilfer+Fractional+Derivative" </w:instrText>
      </w:r>
      <w:r>
        <w:fldChar w:fldCharType="separate"/>
      </w:r>
      <w:r w:rsidRPr="004277F3">
        <w:rPr>
          <w:rStyle w:val="Hyperlink"/>
          <w:rFonts w:ascii="Times New Roman" w:hAnsi="Times New Roman" w:cs="Times New Roman"/>
          <w:sz w:val="20"/>
        </w:rPr>
        <w:t>Hilfer</w:t>
      </w:r>
      <w:proofErr w:type="spellEnd"/>
      <w:r w:rsidRPr="004277F3">
        <w:rPr>
          <w:rStyle w:val="Hyperlink"/>
          <w:rFonts w:ascii="Times New Roman" w:hAnsi="Times New Roman" w:cs="Times New Roman"/>
          <w:sz w:val="20"/>
        </w:rPr>
        <w:t xml:space="preserve"> fractional derivative</w:t>
      </w:r>
      <w:r>
        <w:rPr>
          <w:rStyle w:val="Hyperlink"/>
          <w:rFonts w:ascii="Times New Roman" w:hAnsi="Times New Roman" w:cs="Times New Roman"/>
          <w:color w:val="auto"/>
          <w:sz w:val="20"/>
          <w:u w:val="none"/>
        </w:rPr>
        <w:fldChar w:fldCharType="end"/>
      </w:r>
      <w:r w:rsidRPr="004277F3">
        <w:rPr>
          <w:rFonts w:ascii="Times New Roman" w:hAnsi="Times New Roman" w:cs="Times New Roman"/>
          <w:sz w:val="20"/>
        </w:rPr>
        <w:t>, </w:t>
      </w:r>
      <w:proofErr w:type="spellStart"/>
      <w:r>
        <w:fldChar w:fldCharType="begin"/>
      </w:r>
      <w:r>
        <w:instrText xml:space="preserve"> HYPERLINK "https://www.inderscienceonline.com/keyword/Sobolev+Type+Differential+Inclusions" </w:instrText>
      </w:r>
      <w:r>
        <w:fldChar w:fldCharType="separate"/>
      </w:r>
      <w:r w:rsidRPr="004277F3">
        <w:rPr>
          <w:rStyle w:val="Hyperlink"/>
          <w:rFonts w:ascii="Times New Roman" w:hAnsi="Times New Roman" w:cs="Times New Roman"/>
          <w:sz w:val="20"/>
        </w:rPr>
        <w:t>Sobolev</w:t>
      </w:r>
      <w:proofErr w:type="spellEnd"/>
      <w:r w:rsidRPr="004277F3">
        <w:rPr>
          <w:rStyle w:val="Hyperlink"/>
          <w:rFonts w:ascii="Times New Roman" w:hAnsi="Times New Roman" w:cs="Times New Roman"/>
          <w:sz w:val="20"/>
        </w:rPr>
        <w:t xml:space="preserve"> type differential inclusions</w:t>
      </w:r>
      <w:r>
        <w:rPr>
          <w:rStyle w:val="Hyperlink"/>
          <w:rFonts w:ascii="Times New Roman" w:hAnsi="Times New Roman" w:cs="Times New Roman"/>
          <w:color w:val="auto"/>
          <w:sz w:val="20"/>
          <w:u w:val="none"/>
        </w:rPr>
        <w:fldChar w:fldCharType="end"/>
      </w:r>
      <w:r w:rsidRPr="004277F3">
        <w:rPr>
          <w:rFonts w:ascii="Times New Roman" w:hAnsi="Times New Roman" w:cs="Times New Roman"/>
          <w:sz w:val="20"/>
        </w:rPr>
        <w:t>, </w:t>
      </w:r>
      <w:hyperlink r:id="rId5" w:history="1">
        <w:r w:rsidRPr="004277F3">
          <w:rPr>
            <w:rStyle w:val="Hyperlink"/>
            <w:rFonts w:ascii="Times New Roman" w:hAnsi="Times New Roman" w:cs="Times New Roman"/>
            <w:sz w:val="20"/>
          </w:rPr>
          <w:t>Semigroup theory</w:t>
        </w:r>
      </w:hyperlink>
    </w:p>
    <w:p w14:paraId="0369B3D8" w14:textId="77777777" w:rsidR="004D656D" w:rsidRPr="00382432" w:rsidRDefault="004D656D" w:rsidP="004D656D">
      <w:pPr>
        <w:spacing w:after="0" w:line="240" w:lineRule="auto"/>
        <w:rPr>
          <w:rFonts w:ascii="Times New Roman" w:hAnsi="Times New Roman" w:cs="Times New Roman"/>
          <w:sz w:val="2"/>
        </w:rPr>
      </w:pPr>
    </w:p>
    <w:p w14:paraId="09251128" w14:textId="77777777" w:rsidR="004D656D" w:rsidRPr="004277F3" w:rsidRDefault="004D656D" w:rsidP="004D65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376"/>
        <w:gridCol w:w="1800"/>
      </w:tblGrid>
      <w:tr w:rsidR="004D656D" w:rsidRPr="004B48DA" w14:paraId="533CCEE7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6E0FDB09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7152C840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hideMark/>
          </w:tcPr>
          <w:p w14:paraId="0FD93351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7" w:type="dxa"/>
            <w:noWrap/>
            <w:hideMark/>
          </w:tcPr>
          <w:p w14:paraId="1A926BD7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376" w:type="dxa"/>
            <w:noWrap/>
            <w:hideMark/>
          </w:tcPr>
          <w:p w14:paraId="7E3FE088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7395C1E8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4277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4D656D" w:rsidRPr="004B48DA" w14:paraId="64D6DDAC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5EDA43DD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4277F3">
              <w:rPr>
                <w:rFonts w:ascii="Times New Roman" w:hAnsi="Times New Roman" w:cs="Times New Roman"/>
                <w:color w:val="000000"/>
                <w:sz w:val="20"/>
              </w:rPr>
              <w:t>International Journal of Dynamical Systems and Differential Equations</w:t>
            </w:r>
          </w:p>
        </w:tc>
        <w:tc>
          <w:tcPr>
            <w:tcW w:w="900" w:type="dxa"/>
            <w:noWrap/>
          </w:tcPr>
          <w:p w14:paraId="766A6E37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77F3">
              <w:rPr>
                <w:rFonts w:ascii="Times New Roman" w:hAnsi="Times New Roman" w:cs="Times New Roman"/>
                <w:color w:val="000000"/>
                <w:sz w:val="20"/>
              </w:rPr>
              <w:t xml:space="preserve">10 (1) </w:t>
            </w:r>
          </w:p>
          <w:p w14:paraId="6C133AA0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717" w:type="dxa"/>
          </w:tcPr>
          <w:p w14:paraId="38BCF5B3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77F3">
              <w:rPr>
                <w:rFonts w:ascii="Times New Roman" w:hAnsi="Times New Roman" w:cs="Times New Roman"/>
                <w:color w:val="000000"/>
                <w:sz w:val="20"/>
              </w:rPr>
              <w:t>Feb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4277F3">
              <w:rPr>
                <w:rFonts w:ascii="Times New Roman" w:hAnsi="Times New Roman" w:cs="Times New Roman"/>
                <w:color w:val="000000"/>
                <w:sz w:val="20"/>
              </w:rPr>
              <w:t xml:space="preserve"> 2020                                         </w:t>
            </w:r>
          </w:p>
          <w:p w14:paraId="442AAB52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047" w:type="dxa"/>
            <w:noWrap/>
          </w:tcPr>
          <w:p w14:paraId="33FB33B8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77F3">
              <w:rPr>
                <w:rFonts w:ascii="Times New Roman" w:hAnsi="Times New Roman" w:cs="Times New Roman"/>
                <w:color w:val="000000"/>
                <w:sz w:val="20"/>
              </w:rPr>
              <w:t xml:space="preserve">  59-80</w:t>
            </w:r>
          </w:p>
          <w:p w14:paraId="46FBE5E5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376" w:type="dxa"/>
            <w:noWrap/>
          </w:tcPr>
          <w:p w14:paraId="48AF6A0B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77F3">
              <w:rPr>
                <w:rFonts w:ascii="Times New Roman" w:hAnsi="Times New Roman" w:cs="Times New Roman"/>
                <w:color w:val="000000"/>
                <w:sz w:val="20"/>
              </w:rPr>
              <w:t>InderScience</w:t>
            </w:r>
            <w:proofErr w:type="spellEnd"/>
          </w:p>
          <w:p w14:paraId="0C83F866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800" w:type="dxa"/>
            <w:noWrap/>
          </w:tcPr>
          <w:p w14:paraId="3DDD10B6" w14:textId="77777777" w:rsidR="004D656D" w:rsidRPr="004277F3" w:rsidRDefault="004D656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</w:pPr>
            <w:r w:rsidRPr="004277F3">
              <w:rPr>
                <w:rFonts w:ascii="Times New Roman" w:eastAsia="Times New Roman" w:hAnsi="Times New Roman" w:cs="Times New Roman"/>
                <w:bCs/>
                <w:sz w:val="20"/>
              </w:rPr>
              <w:t>Q3</w:t>
            </w:r>
          </w:p>
        </w:tc>
      </w:tr>
    </w:tbl>
    <w:p w14:paraId="5AAED7FE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56D"/>
    <w:rsid w:val="004D656D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8400"/>
  <w15:chartTrackingRefBased/>
  <w15:docId w15:val="{95CE144D-5505-412B-B9A0-09EBD42C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erscienceonline.com/keyword/Semigroup+Theory" TargetMode="External"/><Relationship Id="rId4" Type="http://schemas.openxmlformats.org/officeDocument/2006/relationships/hyperlink" Target="https://www.inderscienceonline.com/keyword/Approximate+Controll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2022-05-18T10:58:00Z</dcterms:created>
  <dcterms:modified xsi:type="dcterms:W3CDTF">2022-05-18T10:58:00Z</dcterms:modified>
</cp:coreProperties>
</file>