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012B7" w14:textId="77777777" w:rsidR="0051501B" w:rsidRPr="006F00E6" w:rsidRDefault="0051501B" w:rsidP="0051501B">
      <w:pPr>
        <w:spacing w:after="0"/>
        <w:rPr>
          <w:rFonts w:ascii="Times New Roman" w:hAnsi="Times New Roman" w:cs="Times New Roman"/>
          <w:b/>
        </w:rPr>
      </w:pPr>
      <w:r>
        <w:rPr>
          <w:rFonts w:ascii="Times New Roman" w:hAnsi="Times New Roman" w:cs="Times New Roman"/>
          <w:b/>
        </w:rPr>
        <w:t>Paper No: PU-SOE-</w:t>
      </w:r>
      <w:r w:rsidRPr="004818F1">
        <w:rPr>
          <w:rFonts w:ascii="Times New Roman" w:hAnsi="Times New Roman" w:cs="Times New Roman"/>
          <w:b/>
          <w:highlight w:val="yellow"/>
        </w:rPr>
        <w:t>MAT- 09</w:t>
      </w:r>
    </w:p>
    <w:p w14:paraId="7E6ACA19" w14:textId="77777777" w:rsidR="0051501B" w:rsidRPr="001210E2" w:rsidRDefault="0051501B" w:rsidP="0051501B">
      <w:pPr>
        <w:spacing w:after="0" w:line="240" w:lineRule="auto"/>
        <w:rPr>
          <w:rFonts w:ascii="Times New Roman" w:eastAsia="Times New Roman" w:hAnsi="Times New Roman" w:cs="Times New Roman"/>
          <w:b/>
          <w:bCs/>
          <w:sz w:val="2"/>
        </w:rPr>
      </w:pPr>
    </w:p>
    <w:p w14:paraId="61D81631" w14:textId="77777777" w:rsidR="0051501B" w:rsidRPr="006F00E6" w:rsidRDefault="0051501B" w:rsidP="0051501B">
      <w:pPr>
        <w:spacing w:after="0" w:line="240" w:lineRule="auto"/>
        <w:jc w:val="both"/>
        <w:rPr>
          <w:rFonts w:ascii="Times New Roman" w:eastAsia="Times New Roman" w:hAnsi="Times New Roman" w:cs="Times New Roman"/>
          <w:b/>
          <w:color w:val="000000"/>
          <w:sz w:val="6"/>
        </w:rPr>
      </w:pPr>
    </w:p>
    <w:p w14:paraId="39D85268" w14:textId="77777777" w:rsidR="0051501B" w:rsidRPr="004818F1" w:rsidRDefault="0051501B" w:rsidP="0051501B">
      <w:pPr>
        <w:spacing w:after="0" w:line="240" w:lineRule="auto"/>
        <w:jc w:val="both"/>
        <w:rPr>
          <w:rFonts w:ascii="Times New Roman" w:eastAsia="Times New Roman" w:hAnsi="Times New Roman" w:cs="Times New Roman"/>
          <w:b/>
          <w:color w:val="000000"/>
        </w:rPr>
      </w:pPr>
      <w:r w:rsidRPr="004818F1">
        <w:rPr>
          <w:rFonts w:ascii="Times New Roman" w:eastAsia="Times New Roman" w:hAnsi="Times New Roman" w:cs="Times New Roman"/>
          <w:b/>
          <w:color w:val="000000"/>
        </w:rPr>
        <w:t>Entire solution of certain type of delay-differential equations</w:t>
      </w:r>
    </w:p>
    <w:p w14:paraId="3ADE3C3E" w14:textId="77777777" w:rsidR="0051501B" w:rsidRPr="006F00E6" w:rsidRDefault="0051501B" w:rsidP="0051501B">
      <w:pPr>
        <w:tabs>
          <w:tab w:val="left" w:pos="3510"/>
        </w:tabs>
        <w:spacing w:after="0" w:line="240" w:lineRule="auto"/>
        <w:jc w:val="both"/>
        <w:rPr>
          <w:rFonts w:ascii="Times New Roman" w:eastAsia="Times New Roman" w:hAnsi="Times New Roman" w:cs="Times New Roman"/>
          <w:b/>
          <w:color w:val="000000"/>
          <w:sz w:val="12"/>
        </w:rPr>
      </w:pPr>
    </w:p>
    <w:p w14:paraId="7AB9F5E7" w14:textId="77777777" w:rsidR="0051501B" w:rsidRPr="004818F1" w:rsidRDefault="0051501B" w:rsidP="0051501B">
      <w:pPr>
        <w:spacing w:after="0" w:line="240" w:lineRule="auto"/>
        <w:rPr>
          <w:rFonts w:ascii="Times New Roman" w:eastAsia="Times New Roman" w:hAnsi="Times New Roman" w:cs="Times New Roman"/>
          <w:color w:val="000000"/>
        </w:rPr>
      </w:pPr>
      <w:r w:rsidRPr="004818F1">
        <w:rPr>
          <w:rFonts w:ascii="Times New Roman" w:eastAsia="Times New Roman" w:hAnsi="Times New Roman" w:cs="Times New Roman"/>
          <w:b/>
          <w:bCs/>
          <w:color w:val="000000"/>
        </w:rPr>
        <w:t>Rajeshwari S</w:t>
      </w:r>
      <w:r>
        <w:rPr>
          <w:rFonts w:ascii="Times New Roman" w:eastAsia="Times New Roman" w:hAnsi="Times New Roman" w:cs="Times New Roman"/>
          <w:color w:val="000000"/>
        </w:rPr>
        <w:t xml:space="preserve">, </w:t>
      </w:r>
      <w:r w:rsidRPr="004818F1">
        <w:rPr>
          <w:rFonts w:ascii="Times New Roman" w:eastAsia="Times New Roman" w:hAnsi="Times New Roman" w:cs="Times New Roman"/>
          <w:b/>
          <w:bCs/>
          <w:color w:val="000000"/>
        </w:rPr>
        <w:t>Husna</w:t>
      </w:r>
      <w:r w:rsidRPr="004818F1">
        <w:rPr>
          <w:rFonts w:ascii="Times New Roman" w:eastAsia="Times New Roman" w:hAnsi="Times New Roman" w:cs="Times New Roman"/>
          <w:color w:val="000000"/>
        </w:rPr>
        <w:t xml:space="preserve"> and </w:t>
      </w:r>
      <w:proofErr w:type="spellStart"/>
      <w:r w:rsidRPr="004818F1">
        <w:rPr>
          <w:rFonts w:ascii="Times New Roman" w:eastAsia="Times New Roman" w:hAnsi="Times New Roman" w:cs="Times New Roman"/>
          <w:color w:val="000000"/>
        </w:rPr>
        <w:t>Sheeba</w:t>
      </w:r>
      <w:proofErr w:type="spellEnd"/>
      <w:r w:rsidRPr="004818F1">
        <w:rPr>
          <w:rFonts w:ascii="Times New Roman" w:eastAsia="Times New Roman" w:hAnsi="Times New Roman" w:cs="Times New Roman"/>
          <w:color w:val="000000"/>
        </w:rPr>
        <w:t xml:space="preserve"> </w:t>
      </w:r>
      <w:proofErr w:type="spellStart"/>
      <w:r w:rsidRPr="004818F1">
        <w:rPr>
          <w:rFonts w:ascii="Times New Roman" w:eastAsia="Times New Roman" w:hAnsi="Times New Roman" w:cs="Times New Roman"/>
          <w:color w:val="000000"/>
        </w:rPr>
        <w:t>Kouzer</w:t>
      </w:r>
      <w:proofErr w:type="spellEnd"/>
      <w:r w:rsidRPr="004818F1">
        <w:rPr>
          <w:rFonts w:ascii="Times New Roman" w:eastAsia="Times New Roman" w:hAnsi="Times New Roman" w:cs="Times New Roman"/>
          <w:color w:val="000000"/>
        </w:rPr>
        <w:t xml:space="preserve"> </w:t>
      </w:r>
      <w:proofErr w:type="spellStart"/>
      <w:r w:rsidRPr="004818F1">
        <w:rPr>
          <w:rFonts w:ascii="Times New Roman" w:eastAsia="Times New Roman" w:hAnsi="Times New Roman" w:cs="Times New Roman"/>
          <w:color w:val="000000"/>
        </w:rPr>
        <w:t>Buzurg</w:t>
      </w:r>
      <w:proofErr w:type="spellEnd"/>
    </w:p>
    <w:p w14:paraId="4B1BA7E3" w14:textId="77777777" w:rsidR="0051501B" w:rsidRPr="004818F1" w:rsidRDefault="0051501B" w:rsidP="0051501B">
      <w:pPr>
        <w:spacing w:after="0" w:line="240" w:lineRule="auto"/>
        <w:rPr>
          <w:rFonts w:ascii="Times New Roman" w:hAnsi="Times New Roman" w:cs="Times New Roman"/>
          <w:b/>
          <w:sz w:val="16"/>
          <w:szCs w:val="16"/>
        </w:rPr>
      </w:pPr>
      <w:r w:rsidRPr="004818F1">
        <w:rPr>
          <w:rFonts w:ascii="Times New Roman" w:hAnsi="Times New Roman" w:cs="Times New Roman"/>
          <w:sz w:val="16"/>
          <w:szCs w:val="16"/>
        </w:rPr>
        <w:t>Department of Mathematics, School of Engineering, Presidency University, Bangalore-560 064, INDIA</w:t>
      </w:r>
    </w:p>
    <w:p w14:paraId="7F048ACD" w14:textId="77777777" w:rsidR="0051501B" w:rsidRPr="006F00E6" w:rsidRDefault="0051501B" w:rsidP="0051501B">
      <w:pPr>
        <w:spacing w:after="0" w:line="240" w:lineRule="auto"/>
        <w:rPr>
          <w:rFonts w:ascii="Times New Roman" w:hAnsi="Times New Roman" w:cs="Times New Roman"/>
          <w:b/>
          <w:sz w:val="8"/>
        </w:rPr>
      </w:pPr>
    </w:p>
    <w:p w14:paraId="6C4DC46B" w14:textId="77777777" w:rsidR="0051501B" w:rsidRPr="002A2612" w:rsidRDefault="0051501B" w:rsidP="0051501B">
      <w:pPr>
        <w:spacing w:after="0" w:line="240" w:lineRule="auto"/>
        <w:jc w:val="center"/>
        <w:rPr>
          <w:rFonts w:ascii="Times New Roman" w:hAnsi="Times New Roman" w:cs="Times New Roman"/>
          <w:b/>
          <w:sz w:val="28"/>
        </w:rPr>
      </w:pPr>
      <w:r w:rsidRPr="006F00E6">
        <w:rPr>
          <w:rFonts w:ascii="Times New Roman" w:hAnsi="Times New Roman" w:cs="Times New Roman"/>
          <w:b/>
        </w:rPr>
        <w:t>Abstract</w:t>
      </w:r>
    </w:p>
    <w:p w14:paraId="7E753713" w14:textId="77777777" w:rsidR="0051501B" w:rsidRPr="006F00E6" w:rsidRDefault="0051501B" w:rsidP="0051501B">
      <w:pPr>
        <w:spacing w:after="0" w:line="240" w:lineRule="auto"/>
        <w:jc w:val="center"/>
        <w:rPr>
          <w:rFonts w:ascii="Times New Roman" w:hAnsi="Times New Roman" w:cs="Times New Roman"/>
          <w:b/>
          <w:sz w:val="2"/>
        </w:rPr>
      </w:pPr>
    </w:p>
    <w:p w14:paraId="71CEDDFE" w14:textId="77777777" w:rsidR="0051501B" w:rsidRPr="002A2612" w:rsidRDefault="0051501B" w:rsidP="0051501B">
      <w:pPr>
        <w:spacing w:after="0" w:line="240" w:lineRule="auto"/>
        <w:jc w:val="center"/>
        <w:rPr>
          <w:rFonts w:ascii="Times New Roman" w:hAnsi="Times New Roman" w:cs="Times New Roman"/>
          <w:b/>
          <w:sz w:val="2"/>
        </w:rPr>
      </w:pPr>
    </w:p>
    <w:p w14:paraId="2827507C" w14:textId="77777777" w:rsidR="0051501B" w:rsidRPr="00932C1B" w:rsidRDefault="0051501B" w:rsidP="0051501B">
      <w:pPr>
        <w:spacing w:after="0" w:line="240" w:lineRule="auto"/>
        <w:jc w:val="both"/>
        <w:rPr>
          <w:rFonts w:ascii="Times New Roman" w:hAnsi="Times New Roman" w:cs="Times New Roman"/>
          <w:color w:val="FF0000"/>
          <w:sz w:val="20"/>
          <w:shd w:val="clear" w:color="auto" w:fill="FFFFFF"/>
        </w:rPr>
      </w:pPr>
      <w:r w:rsidRPr="00932C1B">
        <w:rPr>
          <w:rFonts w:ascii="Times New Roman" w:hAnsi="Times New Roman" w:cs="Times New Roman"/>
          <w:color w:val="FF0000"/>
          <w:sz w:val="20"/>
          <w:shd w:val="clear" w:color="auto" w:fill="FFFFFF"/>
        </w:rPr>
        <w:t xml:space="preserve">The open‐ended vertical double‐passage annular space between three vertical concentric coaxial cylinders is an important physical configuration portraying many practical applications. Hence, in the present analysis, the developing buoyant convection in vertical double‐passage annuli filled with fluid‐saturated porous media is studied numerically by imposing unheated entry and unheated exit thermal boundary conditions. The numerical solutions of the mathematical model equations are found through finite difference technique. The velocity profiles in radial as well as axial directions and temperature profiles have been depicted for vast range of no dimensional numbers, baffle position, and heating and un‐heating ratio. The velocity and thermal gradients </w:t>
      </w:r>
      <w:proofErr w:type="gramStart"/>
      <w:r w:rsidRPr="00932C1B">
        <w:rPr>
          <w:rFonts w:ascii="Times New Roman" w:hAnsi="Times New Roman" w:cs="Times New Roman"/>
          <w:color w:val="FF0000"/>
          <w:sz w:val="20"/>
          <w:shd w:val="clear" w:color="auto" w:fill="FFFFFF"/>
        </w:rPr>
        <w:t>decreases</w:t>
      </w:r>
      <w:proofErr w:type="gramEnd"/>
      <w:r w:rsidRPr="00932C1B">
        <w:rPr>
          <w:rFonts w:ascii="Times New Roman" w:hAnsi="Times New Roman" w:cs="Times New Roman"/>
          <w:color w:val="FF0000"/>
          <w:sz w:val="20"/>
          <w:shd w:val="clear" w:color="auto" w:fill="FFFFFF"/>
        </w:rPr>
        <w:t xml:space="preserve"> as heating section length decreases. Maximum velocity and heat transport occurs in a narrow annular passage rather than equal or wider passages. The presence of porosity causes a reduction in flow velocities and thermal gradients.</w:t>
      </w:r>
    </w:p>
    <w:p w14:paraId="07477E97" w14:textId="77777777" w:rsidR="0051501B" w:rsidRPr="006F00E6" w:rsidRDefault="0051501B" w:rsidP="0051501B">
      <w:pPr>
        <w:spacing w:after="0" w:line="240" w:lineRule="auto"/>
        <w:jc w:val="both"/>
        <w:rPr>
          <w:rFonts w:ascii="Times New Roman" w:hAnsi="Times New Roman" w:cs="Times New Roman"/>
          <w:b/>
          <w:sz w:val="12"/>
        </w:rPr>
      </w:pPr>
    </w:p>
    <w:p w14:paraId="5CD01CA7" w14:textId="77777777" w:rsidR="0051501B" w:rsidRPr="006F00E6" w:rsidRDefault="0051501B" w:rsidP="0051501B">
      <w:pPr>
        <w:spacing w:after="0" w:line="240" w:lineRule="auto"/>
        <w:jc w:val="both"/>
        <w:rPr>
          <w:rFonts w:ascii="Times New Roman" w:hAnsi="Times New Roman" w:cs="Times New Roman"/>
          <w:b/>
        </w:rPr>
      </w:pPr>
      <w:r>
        <w:rPr>
          <w:rFonts w:ascii="Times New Roman" w:hAnsi="Times New Roman" w:cs="Times New Roman"/>
          <w:b/>
        </w:rPr>
        <w:t>Keywords:</w:t>
      </w:r>
    </w:p>
    <w:p w14:paraId="36E81C8B" w14:textId="77777777" w:rsidR="0051501B" w:rsidRPr="006F00E6" w:rsidRDefault="0051501B" w:rsidP="0051501B">
      <w:pPr>
        <w:spacing w:after="0" w:line="240" w:lineRule="auto"/>
        <w:jc w:val="both"/>
        <w:rPr>
          <w:rFonts w:ascii="Times New Roman" w:hAnsi="Times New Roman" w:cs="Times New Roman"/>
          <w:sz w:val="20"/>
        </w:rPr>
      </w:pPr>
      <w:r w:rsidRPr="006F00E6">
        <w:rPr>
          <w:rFonts w:ascii="Times New Roman" w:hAnsi="Times New Roman" w:cs="Times New Roman"/>
          <w:sz w:val="20"/>
        </w:rPr>
        <w:t xml:space="preserve">Baffle, Convection, </w:t>
      </w:r>
      <w:proofErr w:type="spellStart"/>
      <w:r w:rsidRPr="006F00E6">
        <w:rPr>
          <w:rFonts w:ascii="Times New Roman" w:hAnsi="Times New Roman" w:cs="Times New Roman"/>
          <w:sz w:val="20"/>
        </w:rPr>
        <w:t>Grashof</w:t>
      </w:r>
      <w:proofErr w:type="spellEnd"/>
      <w:r w:rsidRPr="006F00E6">
        <w:rPr>
          <w:rFonts w:ascii="Times New Roman" w:hAnsi="Times New Roman" w:cs="Times New Roman"/>
          <w:sz w:val="20"/>
        </w:rPr>
        <w:t xml:space="preserve"> number, unheated entry and exit</w:t>
      </w:r>
    </w:p>
    <w:p w14:paraId="019BCD3A" w14:textId="77777777" w:rsidR="0051501B" w:rsidRPr="002A2612" w:rsidRDefault="0051501B" w:rsidP="0051501B">
      <w:pPr>
        <w:spacing w:after="0" w:line="240" w:lineRule="auto"/>
        <w:rPr>
          <w:rFonts w:ascii="Times New Roman" w:hAnsi="Times New Roman" w:cs="Times New Roman"/>
          <w:sz w:val="2"/>
        </w:rPr>
      </w:pPr>
    </w:p>
    <w:p w14:paraId="511CDD8C" w14:textId="77777777" w:rsidR="0051501B" w:rsidRPr="00582C44" w:rsidRDefault="0051501B" w:rsidP="0051501B">
      <w:pPr>
        <w:spacing w:after="0" w:line="240" w:lineRule="auto"/>
        <w:rPr>
          <w:rFonts w:ascii="Times New Roman" w:hAnsi="Times New Roman" w:cs="Times New Roman"/>
          <w:b/>
        </w:rPr>
      </w:pPr>
      <w:r>
        <w:rPr>
          <w:rFonts w:ascii="Times New Roman" w:hAnsi="Times New Roman" w:cs="Times New Roman"/>
          <w:b/>
        </w:rPr>
        <w:t>Publication Details:</w:t>
      </w:r>
    </w:p>
    <w:p w14:paraId="5B6C1588" w14:textId="77777777" w:rsidR="0051501B" w:rsidRPr="002A2612" w:rsidRDefault="0051501B" w:rsidP="0051501B">
      <w:pPr>
        <w:spacing w:after="0" w:line="240" w:lineRule="auto"/>
        <w:rPr>
          <w:rFonts w:ascii="Times New Roman" w:hAnsi="Times New Roman" w:cs="Times New Roman"/>
          <w:b/>
          <w:sz w:val="18"/>
          <w:vertAlign w:val="superscript"/>
        </w:rPr>
      </w:pPr>
    </w:p>
    <w:tbl>
      <w:tblPr>
        <w:tblW w:w="9450" w:type="dxa"/>
        <w:tblLayout w:type="fixed"/>
        <w:tblLook w:val="04A0" w:firstRow="1" w:lastRow="0" w:firstColumn="1" w:lastColumn="0" w:noHBand="0" w:noVBand="1"/>
      </w:tblPr>
      <w:tblGrid>
        <w:gridCol w:w="2610"/>
        <w:gridCol w:w="900"/>
        <w:gridCol w:w="1717"/>
        <w:gridCol w:w="1047"/>
        <w:gridCol w:w="1286"/>
        <w:gridCol w:w="1890"/>
      </w:tblGrid>
      <w:tr w:rsidR="0051501B" w:rsidRPr="001B4505" w14:paraId="43797AFE" w14:textId="77777777" w:rsidTr="00673108">
        <w:trPr>
          <w:trHeight w:val="378"/>
        </w:trPr>
        <w:tc>
          <w:tcPr>
            <w:tcW w:w="2610" w:type="dxa"/>
            <w:noWrap/>
            <w:hideMark/>
          </w:tcPr>
          <w:p w14:paraId="5C82E742" w14:textId="77777777" w:rsidR="0051501B" w:rsidRPr="00582C44" w:rsidRDefault="0051501B" w:rsidP="00673108">
            <w:pPr>
              <w:spacing w:after="0" w:line="240" w:lineRule="auto"/>
              <w:jc w:val="center"/>
              <w:rPr>
                <w:rFonts w:ascii="Times New Roman" w:eastAsia="Times New Roman" w:hAnsi="Times New Roman" w:cs="Times New Roman"/>
                <w:b/>
                <w:bCs/>
                <w:sz w:val="20"/>
              </w:rPr>
            </w:pPr>
            <w:r w:rsidRPr="00582C44">
              <w:rPr>
                <w:rFonts w:ascii="Times New Roman" w:eastAsia="Times New Roman" w:hAnsi="Times New Roman" w:cs="Times New Roman"/>
                <w:b/>
                <w:bCs/>
                <w:sz w:val="20"/>
              </w:rPr>
              <w:t>Journal Name</w:t>
            </w:r>
          </w:p>
        </w:tc>
        <w:tc>
          <w:tcPr>
            <w:tcW w:w="900" w:type="dxa"/>
            <w:noWrap/>
            <w:hideMark/>
          </w:tcPr>
          <w:p w14:paraId="24EEBB8D" w14:textId="77777777" w:rsidR="0051501B" w:rsidRPr="00582C44" w:rsidRDefault="0051501B" w:rsidP="00673108">
            <w:pPr>
              <w:spacing w:after="0" w:line="240" w:lineRule="auto"/>
              <w:jc w:val="center"/>
              <w:rPr>
                <w:rFonts w:ascii="Times New Roman" w:eastAsia="Times New Roman" w:hAnsi="Times New Roman" w:cs="Times New Roman"/>
                <w:b/>
                <w:bCs/>
                <w:sz w:val="20"/>
              </w:rPr>
            </w:pPr>
            <w:r w:rsidRPr="00582C44">
              <w:rPr>
                <w:rFonts w:ascii="Times New Roman" w:eastAsia="Times New Roman" w:hAnsi="Times New Roman" w:cs="Times New Roman"/>
                <w:b/>
                <w:bCs/>
                <w:sz w:val="20"/>
              </w:rPr>
              <w:t>Vol.</w:t>
            </w:r>
          </w:p>
        </w:tc>
        <w:tc>
          <w:tcPr>
            <w:tcW w:w="1717" w:type="dxa"/>
            <w:hideMark/>
          </w:tcPr>
          <w:p w14:paraId="759DCB43" w14:textId="77777777" w:rsidR="0051501B" w:rsidRPr="00582C44" w:rsidRDefault="0051501B" w:rsidP="00673108">
            <w:pPr>
              <w:spacing w:after="0" w:line="240" w:lineRule="auto"/>
              <w:jc w:val="center"/>
              <w:rPr>
                <w:rFonts w:ascii="Times New Roman" w:eastAsia="Times New Roman" w:hAnsi="Times New Roman" w:cs="Times New Roman"/>
                <w:b/>
                <w:bCs/>
                <w:sz w:val="20"/>
              </w:rPr>
            </w:pPr>
            <w:r w:rsidRPr="00582C44">
              <w:rPr>
                <w:rFonts w:ascii="Times New Roman" w:eastAsia="Times New Roman" w:hAnsi="Times New Roman" w:cs="Times New Roman"/>
                <w:b/>
                <w:bCs/>
                <w:sz w:val="20"/>
              </w:rPr>
              <w:t xml:space="preserve">Month </w:t>
            </w:r>
            <w:proofErr w:type="gramStart"/>
            <w:r w:rsidRPr="00582C44">
              <w:rPr>
                <w:rFonts w:ascii="Times New Roman" w:eastAsia="Times New Roman" w:hAnsi="Times New Roman" w:cs="Times New Roman"/>
                <w:b/>
                <w:bCs/>
                <w:sz w:val="20"/>
              </w:rPr>
              <w:t>&amp;  Year</w:t>
            </w:r>
            <w:proofErr w:type="gramEnd"/>
            <w:r w:rsidRPr="00582C44">
              <w:rPr>
                <w:rFonts w:ascii="Times New Roman" w:eastAsia="Times New Roman" w:hAnsi="Times New Roman" w:cs="Times New Roman"/>
                <w:b/>
                <w:bCs/>
                <w:sz w:val="20"/>
              </w:rPr>
              <w:t xml:space="preserve"> </w:t>
            </w:r>
          </w:p>
        </w:tc>
        <w:tc>
          <w:tcPr>
            <w:tcW w:w="1047" w:type="dxa"/>
            <w:noWrap/>
            <w:hideMark/>
          </w:tcPr>
          <w:p w14:paraId="418BCEA3" w14:textId="77777777" w:rsidR="0051501B" w:rsidRPr="00582C44" w:rsidRDefault="0051501B" w:rsidP="00673108">
            <w:pPr>
              <w:spacing w:after="0" w:line="240" w:lineRule="auto"/>
              <w:jc w:val="center"/>
              <w:rPr>
                <w:rFonts w:ascii="Times New Roman" w:eastAsia="Times New Roman" w:hAnsi="Times New Roman" w:cs="Times New Roman"/>
                <w:b/>
                <w:bCs/>
                <w:sz w:val="20"/>
              </w:rPr>
            </w:pPr>
            <w:r w:rsidRPr="00582C44">
              <w:rPr>
                <w:rFonts w:ascii="Times New Roman" w:eastAsia="Times New Roman" w:hAnsi="Times New Roman" w:cs="Times New Roman"/>
                <w:b/>
                <w:bCs/>
                <w:sz w:val="20"/>
              </w:rPr>
              <w:t>Page No.</w:t>
            </w:r>
          </w:p>
        </w:tc>
        <w:tc>
          <w:tcPr>
            <w:tcW w:w="1286" w:type="dxa"/>
            <w:noWrap/>
            <w:hideMark/>
          </w:tcPr>
          <w:p w14:paraId="2B832273" w14:textId="77777777" w:rsidR="0051501B" w:rsidRPr="00582C44" w:rsidRDefault="0051501B" w:rsidP="00673108">
            <w:pPr>
              <w:spacing w:after="0" w:line="240" w:lineRule="auto"/>
              <w:jc w:val="center"/>
              <w:rPr>
                <w:rFonts w:ascii="Times New Roman" w:eastAsia="Times New Roman" w:hAnsi="Times New Roman" w:cs="Times New Roman"/>
                <w:b/>
                <w:bCs/>
                <w:sz w:val="20"/>
              </w:rPr>
            </w:pPr>
            <w:r w:rsidRPr="00582C44">
              <w:rPr>
                <w:rFonts w:ascii="Times New Roman" w:eastAsia="Times New Roman" w:hAnsi="Times New Roman" w:cs="Times New Roman"/>
                <w:b/>
                <w:bCs/>
                <w:sz w:val="20"/>
              </w:rPr>
              <w:t>Publisher</w:t>
            </w:r>
          </w:p>
        </w:tc>
        <w:tc>
          <w:tcPr>
            <w:tcW w:w="1890" w:type="dxa"/>
            <w:noWrap/>
            <w:hideMark/>
          </w:tcPr>
          <w:p w14:paraId="60CD6A72" w14:textId="77777777" w:rsidR="0051501B" w:rsidRPr="00582C44" w:rsidRDefault="0051501B" w:rsidP="00673108">
            <w:pPr>
              <w:spacing w:after="0" w:line="240" w:lineRule="auto"/>
              <w:jc w:val="center"/>
              <w:rPr>
                <w:rFonts w:ascii="Times New Roman" w:eastAsia="Times New Roman" w:hAnsi="Times New Roman" w:cs="Times New Roman"/>
                <w:b/>
                <w:bCs/>
                <w:sz w:val="20"/>
              </w:rPr>
            </w:pPr>
            <w:proofErr w:type="spellStart"/>
            <w:r w:rsidRPr="00582C44">
              <w:rPr>
                <w:rFonts w:ascii="Times New Roman" w:eastAsia="Times New Roman" w:hAnsi="Times New Roman" w:cs="Times New Roman"/>
                <w:b/>
                <w:bCs/>
                <w:sz w:val="20"/>
              </w:rPr>
              <w:t>Scimago</w:t>
            </w:r>
            <w:proofErr w:type="spellEnd"/>
            <w:r w:rsidRPr="00582C44">
              <w:rPr>
                <w:rFonts w:ascii="Times New Roman" w:eastAsia="Times New Roman" w:hAnsi="Times New Roman" w:cs="Times New Roman"/>
                <w:b/>
                <w:bCs/>
                <w:sz w:val="20"/>
              </w:rPr>
              <w:t xml:space="preserve"> Ranking</w:t>
            </w:r>
          </w:p>
        </w:tc>
      </w:tr>
      <w:tr w:rsidR="0051501B" w:rsidRPr="001B4505" w14:paraId="044F56BF" w14:textId="77777777" w:rsidTr="00673108">
        <w:trPr>
          <w:trHeight w:val="333"/>
        </w:trPr>
        <w:tc>
          <w:tcPr>
            <w:tcW w:w="2610" w:type="dxa"/>
            <w:noWrap/>
            <w:hideMark/>
          </w:tcPr>
          <w:p w14:paraId="26704B7A" w14:textId="77777777" w:rsidR="0051501B" w:rsidRPr="00932C1B" w:rsidRDefault="0051501B" w:rsidP="00673108">
            <w:pPr>
              <w:jc w:val="center"/>
              <w:rPr>
                <w:rFonts w:ascii="Times New Roman" w:eastAsia="Times New Roman" w:hAnsi="Times New Roman" w:cs="Times New Roman"/>
                <w:bCs/>
                <w:color w:val="FF0000"/>
                <w:sz w:val="20"/>
              </w:rPr>
            </w:pPr>
            <w:r w:rsidRPr="00932C1B">
              <w:rPr>
                <w:color w:val="FF0000"/>
              </w:rPr>
              <w:t xml:space="preserve">Italian Journal of Pure and Applied Mathematics </w:t>
            </w:r>
          </w:p>
        </w:tc>
        <w:tc>
          <w:tcPr>
            <w:tcW w:w="900" w:type="dxa"/>
            <w:noWrap/>
          </w:tcPr>
          <w:p w14:paraId="3D0C3BB2" w14:textId="77777777" w:rsidR="0051501B" w:rsidRPr="00932C1B" w:rsidRDefault="0051501B" w:rsidP="00673108">
            <w:pPr>
              <w:spacing w:after="0" w:line="240" w:lineRule="auto"/>
              <w:jc w:val="center"/>
              <w:rPr>
                <w:rFonts w:ascii="Times New Roman" w:eastAsia="Times New Roman" w:hAnsi="Times New Roman" w:cs="Times New Roman"/>
                <w:bCs/>
                <w:color w:val="FF0000"/>
                <w:sz w:val="20"/>
              </w:rPr>
            </w:pPr>
          </w:p>
        </w:tc>
        <w:tc>
          <w:tcPr>
            <w:tcW w:w="1717" w:type="dxa"/>
          </w:tcPr>
          <w:p w14:paraId="195AF43B" w14:textId="77777777" w:rsidR="0051501B" w:rsidRPr="00932C1B" w:rsidRDefault="0051501B" w:rsidP="00673108">
            <w:pPr>
              <w:spacing w:after="0" w:line="240" w:lineRule="auto"/>
              <w:jc w:val="center"/>
              <w:rPr>
                <w:rFonts w:ascii="Times New Roman" w:eastAsia="Times New Roman" w:hAnsi="Times New Roman" w:cs="Times New Roman"/>
                <w:bCs/>
                <w:color w:val="FF0000"/>
                <w:sz w:val="20"/>
              </w:rPr>
            </w:pPr>
          </w:p>
        </w:tc>
        <w:tc>
          <w:tcPr>
            <w:tcW w:w="1047" w:type="dxa"/>
            <w:noWrap/>
          </w:tcPr>
          <w:p w14:paraId="515849BC" w14:textId="77777777" w:rsidR="0051501B" w:rsidRPr="00932C1B" w:rsidRDefault="0051501B" w:rsidP="00673108">
            <w:pPr>
              <w:spacing w:after="0" w:line="240" w:lineRule="auto"/>
              <w:jc w:val="center"/>
              <w:rPr>
                <w:rFonts w:ascii="Times New Roman" w:eastAsia="Times New Roman" w:hAnsi="Times New Roman" w:cs="Times New Roman"/>
                <w:b/>
                <w:bCs/>
                <w:color w:val="FF0000"/>
                <w:sz w:val="20"/>
              </w:rPr>
            </w:pPr>
          </w:p>
        </w:tc>
        <w:tc>
          <w:tcPr>
            <w:tcW w:w="1286" w:type="dxa"/>
            <w:noWrap/>
          </w:tcPr>
          <w:p w14:paraId="43118405" w14:textId="77777777" w:rsidR="0051501B" w:rsidRPr="00932C1B" w:rsidRDefault="0051501B" w:rsidP="00673108">
            <w:pPr>
              <w:spacing w:after="0" w:line="240" w:lineRule="auto"/>
              <w:jc w:val="center"/>
              <w:rPr>
                <w:rFonts w:ascii="Times New Roman" w:eastAsia="Times New Roman" w:hAnsi="Times New Roman" w:cs="Times New Roman"/>
                <w:b/>
                <w:bCs/>
                <w:color w:val="FF0000"/>
                <w:sz w:val="20"/>
              </w:rPr>
            </w:pPr>
          </w:p>
        </w:tc>
        <w:tc>
          <w:tcPr>
            <w:tcW w:w="1890" w:type="dxa"/>
            <w:noWrap/>
          </w:tcPr>
          <w:p w14:paraId="12027BAD" w14:textId="77777777" w:rsidR="0051501B" w:rsidRPr="00932C1B" w:rsidRDefault="0051501B" w:rsidP="00673108">
            <w:pPr>
              <w:spacing w:after="0" w:line="240" w:lineRule="auto"/>
              <w:jc w:val="center"/>
              <w:rPr>
                <w:rFonts w:ascii="Times New Roman" w:eastAsia="Times New Roman" w:hAnsi="Times New Roman" w:cs="Times New Roman"/>
                <w:bCs/>
                <w:color w:val="FF0000"/>
                <w:sz w:val="20"/>
              </w:rPr>
            </w:pPr>
            <w:r w:rsidRPr="00932C1B">
              <w:rPr>
                <w:color w:val="FF0000"/>
              </w:rPr>
              <w:t>UGC Care, Q4</w:t>
            </w:r>
          </w:p>
        </w:tc>
      </w:tr>
    </w:tbl>
    <w:p w14:paraId="631E0C58"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1501B"/>
    <w:rsid w:val="0051501B"/>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27971"/>
  <w15:chartTrackingRefBased/>
  <w15:docId w15:val="{581B7D55-DD23-4A2C-8404-8AD8EB62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01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2022-05-18T10:59:00Z</dcterms:created>
  <dcterms:modified xsi:type="dcterms:W3CDTF">2022-05-18T10:59:00Z</dcterms:modified>
</cp:coreProperties>
</file>